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4A_395/2014 vom 19. Dezember 2014</w:t>
      </w:r>
    </w:p>
    <w:p>
      <w:r>
        <w:t>Bundesgericht, 2014-12-19, FR</w:t>
      </w:r>
    </w:p>
    <w:p>
      <w:r>
        <w:rPr>
          <w:b/>
        </w:rPr>
        <w:t xml:space="preserve">Quelle: </w:t>
      </w:r>
      <w:r>
        <w:t>https://mcp.opencaselaw.ch/entscheid/bger_4A_395_2014</w:t>
      </w:r>
    </w:p>
    <w:p>
      <w:r>
        <w:t>FR: TF 4A_395/2014 du 19 décembre 2014</w:t>
      </w:r>
    </w:p>
    <w:p>
      <w:r>
        <w:t>IT: TF 4A_395/2014 del 19 dicembre 2014</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Il est constant que les parties ont conclu un contrat d'assurance qui incluait, entre autres couvertures, la responsabilité civile privée pour dommages à des chevaux de tiers, avec une somme garantie de 100'000 fr., sous déduction d'une franchise de 10% mais d'au moins 500 fr. Ce contrat, qui relève de la loi fédérale sur le contrat d'assurance du 2 avril 1908 (LCA; RS 221.229.1), se caractérise comme une assurance contre les dommages ( art. 48 ss LCA ).</w:t>
      </w:r>
    </w:p>
    <w:p>
      <w:r>
        <w:t>Dans sa réponse au recours en matière civile, l'intimée soutient (p. 15), en se référant à deux ouvrages de doctrine, que l'assurance responsabilité civile n'intervient que si l'assuré a été condamné à indemniser le lésé par un jugement exécutoire; faute de grief de l'assureur portant sur l'interprétation objective de la clause n° 546 des Conditions spéciales et de la clause D1 des conditions générales d'assurance, le Tribunal fédéral n'examinera pas quel sens il faudrait attribuer aux termes selon lesquels l'assurance couvre " les prétentions en responsabilité civile ".</w:t>
      </w:r>
    </w:p>
    <w:p>
      <w:r>
        <w:t>De son côté, la cour cantonale semble avoir admis en droit que l'assurance ne serait obligée que si l'assuré fait l'objet d'une demande en réparation du lésé (le risque assuré ne se réaliserait qu'à cette condition) et elle a constaté en fait que le preneur n'avait pas produit de demande de remboursement de la part de sa fille, ni de factures à lui rembourser. Il n'y a toutefois pas lieu d'examiner si une libéralité faite par le lésé au preneur d'assurance - en l'occurrence par la fille (propriétaire du cheval) à son père (responsable), auquel elle ne réclamerait rien - fait ou non partie du dommage que couvre l'assurance responsabilité civile privée en application de la jurisprudence selon laquelle le montant versé à la victime par un tiers est présumé être une libéralité faite en faveur de celle-ci, et non en faveur du responsable, qui ne doit pas être déduite du dommage (question tranchée ainsi dans l' ATF 116 II 441 consid. 3, avec renvoi aux ATF 97 II 259 consid. 2 et 3 p. 266 et 62 II 290, et laissée ouverte dans un récent arrêt 4A_310/2014 du 10 octobre 2014 consid. 4.3.2), cela pour les motifs qui suivent.</w:t>
      </w:r>
    </w:p>
    <w:p>
      <w:r>
        <w:rPr>
          <w:b/>
        </w:rPr>
        <w:t>E. 3</w:t>
      </w:r>
    </w:p>
    <w:p>
      <w:r>
        <w:t>Comme le recourant l'a bien compris, la cour cantonale a refusé sa prétention en indemnité, d'une part, parce que le cheval n'a pas subi de baisse de valeur (recours p. 11 et p. 16) et qu'il n'y a donc pas d'atteinte au patrimoine de sa fille et, d'autre part, parce qu'il n'a pas produit les pièces utiles pour apporter la preuve de son dommage à lui, et donc l'atteinte à son propre patrimoine (recours p. 15).</w:t>
      </w:r>
    </w:p>
    <w:p>
      <w:r>
        <w:rPr>
          <w:b/>
        </w:rPr>
        <w:t>E. 3.1</w:t>
      </w:r>
    </w:p>
    <w:p>
      <w:r>
        <w:t>En ce qui concerne le dommage qu'aurait subi la propriétaire du cheval, la cour cantonale a considéré que le preneur n'a pas rendu vraisemblable que la blessure du cheval aurait entraîné une incidence sur le patrimoine de celle-ci, dont il devrait répondre, puisque le cheval s'est bien remis de sa blessure et que sa valeur marchande demeure; sa fille ne subirait pas non plus de gain manqué dont elle pourrait lui demander réparation puisqu'elle n'envisageait pas de vendre son cheval lorsqu'il s'est blessé. En d'autres termes, sa fille n'a pas subi de dommage, et conséquemment de diminution de son patrimoine, dont il pourrait être tenu pour responsable.</w:t>
      </w:r>
    </w:p>
    <w:p>
      <w:r>
        <w:t>Le recourant soutient que l'autorité cantonale est tombée dans l'arbitraire en admettant que la valeur du cheval n'a pas été modifiée par l'accident survenu. Il fait valoir que la valeur d'un cheval de compétition dépend aussi du seul fait qu'il a été blessé et que celle-ci doit être déterminée par des experts. Il en déduit qu'en lui refusant le droit de faire entendre des témoins, voire l'expertise qu'il avait sollicitée à titre subsidiaire, alors qu'il avait allégué que la blessure du cheval avait entraîné une baisse de sa valeur marchande oscillant entre 200'000 et 300'000 fr., la Cour de justice a violé son droit à la preuve ( art. 168 et 170 CPC ), l'interdiction de l'arbitraire ( art. 9 Cst. ) et son droit d'être entendu ( art. 29 Cst. ).</w:t>
      </w:r>
    </w:p>
    <w:p>
      <w:r>
        <w:t>Il ressort des constatations de fait de l'arrêt attaqué que le cheval s'est remis de sa blessure, que, depuis le 2 mars 2012, il a pu reprendre la compétition et que le fils du preneur a même été classé avec ce cheval au troisième rang, puis au premier rang de deux concours hippiques les 8 et 10 février 2013. Au vu de ces éléments factuels, il n'était pas arbitraire de retenir que la valeur du cheval n'avait pas été modifiée et, par appréciation anticipée des preuves, la cour cantonale pouvait refuser d'entendre des témoins, voire d'ordonner une expertise. Dans la mesure où le recourant se limite à objecter que la valeur d'un cheval de compétition dépend aussi du fait qu'il n'a jamais été blessé, sa critique est purement appellatoire et, partant, irrecevable.</w:t>
      </w:r>
    </w:p>
    <w:p>
      <w:r>
        <w:t>Par conséquent, les griefs du recourant portant sur le droit à la preuve, le droit à l'administration des moyens de preuve offerts et le droit d'être entendu sont sans objet. Il n'est pas non plus nécessaire d'examiner les critiques du recourant en relation avec la faute du cavalier, le lieu de résidence de la propriétaire, la violation par l'assurance du principe de la fidélité contractuelle et la nécessité d'une expertise pour chiffrer un dommage.</w:t>
      </w:r>
    </w:p>
    <w:p>
      <w:r>
        <w:rPr>
          <w:b/>
        </w:rPr>
        <w:t>E. 3.2</w:t>
      </w:r>
    </w:p>
    <w:p>
      <w:r>
        <w:t>A propos de l'existence d'un dommage qu'aurait subi le recourant lui-même, la cour cantonale a considéré qu'il n'a pas prouvé son préjudice, c'est-à-dire l'atteinte à son patrimoine; en effet, alors que la preuve lui en incombait, il n'a produit aucune pièce utile concernant une demande de sa fille (fondée sur la conception rappelée au consid. 2 supra), ni aucune copie de factures pour les soins vétérinaires et l'acquisition de la machine ayant soigné le cheval blessé. Elle a estimé que le recourant ne saurait solliciter des enquêtes pour remédier à son omission.</w:t>
      </w:r>
    </w:p>
    <w:p>
      <w:r>
        <w:t>Le recourant soutient qu'il doit pouvoir apporter la preuve d'une demande de remboursement de la part de sa fille - que ce soit pour la perte de valeur du cheval ou pour les différents frais encourus - autrement que par titre, à savoir par l'audition de témoins. Il fait valoir qu'il a respecté l' art. 221 al. 2 let . c CPC et que la cour a ainsi violé son droit à l'audition de témoins.</w:t>
      </w:r>
    </w:p>
    <w:p>
      <w:r>
        <w:t>Concernant la valeur du cheval, le sort en a été réglé au considérant 3.1 ci-dessus. Quant au fait qui lui est reproché de n'avoir pas produit les factures pour les soins vétérinaires donnés au cheval et pour l'acquisition d'une machine destinée à soigner celui-ci, le recourant ne démontre pas en quoi la cour cantonale aurait violé le droit fédéral en exigeant qu'il produise ces pièces avec sa demande en justice, dès lors qu'elles devaient bien être disponibles au jour du dépôt de sa demande (i. e. le 5 mars 2013), soit près de deux ans après l'accident (le 5 juillet 2011). Son grief est irrecevable.</w:t>
      </w:r>
    </w:p>
    <w:p>
      <w:r>
        <w:rPr>
          <w:b/>
        </w:rPr>
        <w:t>E. 4</w:t>
      </w:r>
    </w:p>
    <w:p>
      <w:r>
        <w:t>En définitive, le recours doit être rejeté en tant qu'il est recevable.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