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4A_395/2012 vom 16. Oktober 2012</w:t>
      </w:r>
    </w:p>
    <w:p>
      <w:r>
        <w:t>Bundesgericht, 2012-10-16, FR</w:t>
      </w:r>
    </w:p>
    <w:p>
      <w:r>
        <w:rPr>
          <w:b/>
        </w:rPr>
        <w:t xml:space="preserve">Quelle: </w:t>
      </w:r>
      <w:r>
        <w:t>https://mcp.opencaselaw.ch/entscheid/bger_4A_395_2012</w:t>
      </w:r>
    </w:p>
    <w:p>
      <w:r>
        <w:t>FR: TF 4A_395/2012 du 16 octobre 2012</w:t>
      </w:r>
    </w:p>
    <w:p>
      <w:r>
        <w:t>IT: TF 4A_395/2012 del 16 ottobre 2012</w:t>
      </w:r>
    </w:p>
    <w:p>
      <w:pPr>
        <w:pStyle w:val="Heading2"/>
      </w:pPr>
      <w:r>
        <w:t>Erwägungen</w:t>
      </w:r>
    </w:p>
    <w:p>
      <w:r>
        <w:rPr>
          <w:b/>
        </w:rPr>
        <w:t>E. 1</w:t>
      </w:r>
    </w:p>
    <w:p>
      <w:r>
        <w:t>La sentence rendue dans le cadre d'un arbitrage interne peut faire l'objet d'un recours en matière civile ( art. 389 al. 1 CPC ; art. 77 al. 1 let. b LTF ). En l'espèce, la valeur litigieuse correspond aux frais et honoraires que la recourante est susceptible de devoir prendre en charge dans le cadre de la procédure judiciaire initiée par l'intimée contre son ancienne employeuse; au vu des conclusions prises par l'intimée dans cette procédure-là, la valeur litigieuse de la présente cause peut sans autre être estimée à 30'000 fr. au moins, si bien que la voie du recours en matière civile est ouverte, indépendamment de la question de savoir si l'exigence d'une valeur litigieuse minimale s'applique dans les causes arbitrales.</w:t>
      </w:r>
    </w:p>
    <w:p>
      <w:r>
        <w:t>Voie de droit extraordinaire et de nature cassatoire, le recours dirigé contre une sentence arbitrale interne n'est recevable que pour les motifs limitativement énumérés à l' art. 393 CPC , comme cela ressort clairement des versions allemande (nur) et italienne (unicamente) de cette disposition. Seuls les griefs invoqués et motivés par le recourant sont examinés ( art. 77 al. 3 LTF ); la motivation doit satisfaire aux exigences strictes posées à l'époque pour l'ancien recours de droit public ( ATF 134 III 186 consid. 5). La partie recourante doit faire valoir ses griefs avant l'échéance du délai de recours; elle ne peut, dans le cadre d'une réplique ou d'observations sur la réponse de la partie intimée, présenter de nouveaux griefs ou étayer par une autre motivation des griefs soulevés dans les délais.</w:t>
      </w:r>
    </w:p>
    <w:p>
      <w:r>
        <w:rPr>
          <w:b/>
        </w:rPr>
        <w:t>E. 2</w:t>
      </w:r>
    </w:p>
    <w:p>
      <w:r>
        <w:t>La recourante se plaint tout d'abord d'une violation de son droit d'être entendue ( art. 393 let . d CPC). Elle reproche à l'arbitre de ne pas avoir examiné une question qui lui était soumise, soit celle de savoir si la voie judiciaire constituait une démarche nécessaire et appropriée dans le cas de l'intimée. La recourante estime qu'elle n'était tenue de fournir ses prestations qu'à cette condition.</w:t>
      </w:r>
    </w:p>
    <w:p>
      <w:r>
        <w:t>L'arbitre a interprété la confirmation de garantie donnée le 23 septembre 2009; il a conclu que l'intimée pouvait de bonne foi comprendre que la recourante acceptait de couvrir les frais d'une procédure judiciaire devant le juge de première instance. Cette interprétation revenait à dire que la recourante ne conditionnait pas son engagement à l'examen préalable du caractère "nécessaire et approprié" de la procédure judiciaire; l'arbitre n'avait donc pas à examiner cet aspect. La recourante conteste en réalité l'interprétation de l'arbitre (cf. infra, consid. 3.3). Le grief tiré de l' art. 393 let . d CPC est infondé.</w:t>
      </w:r>
    </w:p>
    <w:p>
      <w:r>
        <w:rPr>
          <w:b/>
        </w:rPr>
        <w:t>E. 3</w:t>
      </w:r>
    </w:p>
    <w:p>
      <w:r>
        <w:t>La recourante invoque ensuite le grief d'arbitraire ( art. 393 let . e CPC).</w:t>
      </w:r>
    </w:p>
    <w:p>
      <w:r>
        <w:rPr>
          <w:b/>
        </w:rPr>
        <w:t>E. 3.1</w:t>
      </w:r>
    </w:p>
    <w:p>
      <w:r>
        <w:t>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 art. 393 let . e CPC). Ce motif de recours a été repris du Concordat sur l'arbitrage du 27 mars 1969 ( art. 36 let . f CA; Message du 28 juin 2006 relatif au code de procédure civile suisse, ch. 5.25.8, ad art. 391 du projet, FF 2006 7011); la jurisprudence rendue sous le régime du concordat conserve toute sa valeur.</w:t>
      </w:r>
    </w:p>
    <w:p>
      <w:r>
        <w:t>Une constatation est manifestement contraire aux faits résultant du dossier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4D_101/2010 du 1er décembre 2010 consid. 5.1).</w:t>
      </w:r>
    </w:p>
    <w:p>
      <w:r>
        <w:t>La violation manifeste du droit se rapporte au seul droit matériel, non au droit de procédure ( ATF 131 I 45 consid. 3.4 i.f.; 112 Ia 350 consid. 2b). Quant à la violation manifeste de l'équité, elle suppose que le tribunal arbitral était autorisé à statuer en équité ou a appliqué une norme renvoyant à l'équité ( ATF 107 Ib 63 consid. 2).</w:t>
      </w:r>
    </w:p>
    <w:p>
      <w:r>
        <w:rPr>
          <w:b/>
        </w:rPr>
        <w:t>E. 3.2</w:t>
      </w:r>
    </w:p>
    <w:p>
      <w:r>
        <w:t>La recourante reproche à l'arbitre d'avoir retenu, en totale contradiction avec un courrier du 25 avril 2010, que l'intimée était fondée à croire que les frais d'une procédure judiciaire de première instance seraient pris en charge de façon inconditionnelle.</w:t>
      </w:r>
    </w:p>
    <w:p>
      <w:r>
        <w:t>Par lettre du 25 avril 2010, postérieure à la confirmation de garantie du 23 septembre 2009, l'intimée avait fait savoir à la recourante qu'elle avait refusé l'offre de son ancienne employeuse mais qu'à ce jour, aucune démarche n'avait été entreprise, elle-même et son avocat souhaitant obtenir l'accord préalable de la recourante.</w:t>
      </w:r>
    </w:p>
    <w:p>
      <w:r>
        <w:t>L'arbitre a rappelé qu'il devait d'abord s'efforcer de déterminer la commune et réelle intention des parties et, si cela n'était pas possible ou si les volontés intimes divergeaient, interpréter les déclarations selon la théorie de la confiance. Il a ensuite jugé, en vertu de la théorie de la confiance, que l'intimée pouvait de bonne foi comprendre que la confirmation de garantie couvrait les frais d'une éventuelle procédure judiciaire de première instance. Ce faisant, l'arbitre a implicitement admis qu'il ne pouvait pas constater de volonté subjective commune des parties.</w:t>
      </w:r>
    </w:p>
    <w:p>
      <w:r>
        <w:t>La recourante reproche donc à l'arbitre de ne pas avoir déduit une telle volonté concordante du courrier du 25 avril 2010, qui démontrerait qu'elle-même et l'intimée avaient compris la confirmation de garantie de la même façon, à savoir que la couverture ne s'étendait pas aux frais d'une procédure judiciaire de première instance. Or, cela ne figure pas expressis verbis dans le courrier en question; la conclusion de l'arbitre n'est pas manifestement réfutée par cette pièce. La recourante discute l'interprétation de cette lettre par l'arbitre; une telle critique, qui revient à discuter l'appréciation d'un moyen de preuve, est irrecevable.</w:t>
      </w:r>
    </w:p>
    <w:p>
      <w:r>
        <w:rPr>
          <w:b/>
        </w:rPr>
        <w:t>E. 3.3</w:t>
      </w:r>
    </w:p>
    <w:p>
      <w:r>
        <w:t>La recourante s'en prend également à l'interprétation de la confirmation de garantie selon le principe de la confiance. Il s'agit-là d'une question de droit matériel qui peut être examinée sous l'angle de l'arbitraire.</w:t>
      </w:r>
    </w:p>
    <w:p>
      <w:r>
        <w:t>L'arbitre s'est principalement fondé sur la clause, contenue dans la confirmation de garantie, selon laquelle toutes les démarches nécessaires et appropriées étaient couvertes, sauf celles qui dépasseraient ce cadre, en particulier le dépôt d'un recours contre une décision rendue par une autorité. En substance, l'arbitre a considéré que seule une procédure judiciaire pouvait aboutir à une "décision rendue par une autorité" et qu'en conséquence, les frais y relatifs entraient dans le cadre de ce qui était garanti, la clause de réserve ne portant que sur une éventuelle procédure de recours. Cette déduction n'est pas insoutenable, ce qui scelle le sort du grief. Peu importe qu'une telle garantie soit ou non conforme aux processus habituels en matière d'assurance protection juridique ou aux conditions générales de la recourante.</w:t>
      </w:r>
    </w:p>
    <w:p>
      <w:r>
        <w:rPr>
          <w:b/>
        </w:rPr>
        <w:t>E. 3.4</w:t>
      </w:r>
    </w:p>
    <w:p>
      <w:r>
        <w:t>La recourante objecte enfin que la sentence attaquée est insoutenable dans son résultat, car elle l'obligerait à financer un procès très coûteux, uniquement à cause du choix déraisonnable de l'intimée d'engager une procédure judiciaire non susceptible de conduire à un résultat plus favorable que l'offre transactionnelle présentée par la partie adverse. Or, la recourante ne dit pas pour lequel des motifs limitativement prévus par la loi ( art. 393 let . e CPC) la sentence serait arbitraire dans son résultat, ce qui suffit à entraîner l'irrecevabilité du grief, faute de motivation suffisante. Au demeurant, on ne discerne pas en quoi il serait arbitraire qu'un professionnel doive tenir ses engagements envers un client, eussent-ils été pris à mauvais escient.</w:t>
      </w:r>
    </w:p>
    <w:p>
      <w:r>
        <w:rPr>
          <w:b/>
        </w:rPr>
        <w:t>E. 4</w:t>
      </w:r>
    </w:p>
    <w:p>
      <w:r>
        <w:t>La recourante succombe. Elle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