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4A_394/2024 vom 18. September 2024</w:t>
      </w:r>
    </w:p>
    <w:p>
      <w:r>
        <w:t>Bundesgericht, 2024-09-18, FR</w:t>
      </w:r>
    </w:p>
    <w:p>
      <w:r>
        <w:rPr>
          <w:b/>
        </w:rPr>
        <w:t xml:space="preserve">Quelle: </w:t>
      </w:r>
      <w:r>
        <w:t>https://mcp.opencaselaw.ch/entscheid/bger_4A_394_2024</w:t>
      </w:r>
    </w:p>
    <w:p>
      <w:r>
        <w:t>FR: TF 4A_394/2024 du 18 septembre 2024</w:t>
      </w:r>
    </w:p>
    <w:p>
      <w:r>
        <w:t>IT: TF 4A_394/2024 del 18 settembre 2024</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Il ne suffit pas qu'une appréciation différente puisse être tenue pour également concevable, ou apparaisse même préférable ( ATF 144 I 170 consid. 7.3; 142 II 369 consid. 4.3; 140 III 167 consid. 2.1).</w:t>
      </w:r>
    </w:p>
    <w:p>
      <w:r>
        <w:rPr>
          <w:b/>
        </w:rPr>
        <w:t>E. 3</w:t>
      </w:r>
    </w:p>
    <w:p>
      <w:r>
        <w:t>Dans un premier moyen, le recourant reproche à la cour cantonale d'avoir établi les faits de manière manifestement inexacte sur divers points. Sa critique qui porte sur les effets et la nature exacte de certaines autorisations délivrées en 2012 par le SECO à un autre établissement bancaire que l'intimée, d'une part, et sur une problématique en relation avec des opérations de taux de change, d'autre part, n'a toutefois aucune incidence sur le sort de la présente procédure, raison pour laquelle le grief d'établissement arbitraire des faits doit être écarté.</w:t>
      </w:r>
    </w:p>
    <w:p>
      <w:r>
        <w:rPr>
          <w:b/>
        </w:rPr>
        <w:t>E. 4</w:t>
      </w:r>
    </w:p>
    <w:p>
      <w:r>
        <w:t>Dans un deuxième moyen, l'intéressé prétend que l'autorité précédente aurait écarté, à tort, certaines pièces produites, pour la première fois, en appel. Il dénonce une violation de l' art. 29 al. 1 Cst. et se plaint de formalisme excessif. Semblable reproche tombe à faux. Selon la jurisprudence, le requérant qui a succombé en première instance et a vu sa requête être déclarée irrecevable ne peut en effet pas présenter des pièces nouvelles en appel, même s'il ne lui était pas possible de les produire devant le premier juge (arrêt 4A_470/2022 du 4 janvier 2023 consid. 4.1 et la référence citée).</w:t>
      </w:r>
    </w:p>
    <w:p>
      <w:r>
        <w:rPr>
          <w:b/>
        </w:rPr>
        <w:t>E. 5</w:t>
      </w:r>
    </w:p>
    <w:p>
      <w:r>
        <w:t>Dans un troisième et dernier moyen, le recourant dénonce la violation de l' art. 257 CPC .</w:t>
      </w:r>
    </w:p>
    <w:p>
      <w:r>
        <w:rPr>
          <w:b/>
        </w:rPr>
        <w:t>E. 5.1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 En vertu de l' art. 257 al. 1 CPC , le tribunal admet l'application de cette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(Glaubhaftmachen) ne suffit pas. Si le défendeur fait valoir des objections et exceptions motivées et concluantes ( substanziiert und schlüssig ), qui ne peuvent être écartées immédiatement et qui sont de nature à ébranler la conviction du juge, la procédure du cas clair est irrecevable (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4A_305/2024 du 11 juin 2024 consid. 4.1).</w:t>
      </w:r>
    </w:p>
    <w:p>
      <w:r>
        <w:rPr>
          <w:b/>
        </w:rPr>
        <w:t>E. 5.2</w:t>
      </w:r>
    </w:p>
    <w:p>
      <w:r>
        <w:t>Dans l'arrêt attaqué, la cour cantonale observe que l'ordre litigieux se rapporte à une transaction financière autorisée en Suisse, mais qu'il s'inscrit plus globalement dans un contexte international. Or, le recourant fait l'objet de sanctions dans plusieurs États en lien avec le conflit en Ukraine. En outre, l'intimée appartient à un groupe qui dispose d'entités affiliées au sein de l'Union européenne et au Royaume-Uni. Constatant qu'il n'existe pas de base légale ni de jurisprudence ou doctrine éprouvée en la matière, la juridiction cantonale estime qu'il est nécessaire d'apprécier les textes étrangers pour résoudre le problème litigieux, raison pour laquelle la situation juridique n'est pas claire. Elle relève également que les conditions générales de l'intimée, applicables au contrat conclu par les parties, accordent une certaine marge de manoeuvre à la banque pour refuser d'exécuter un ordre en vue d'assurer le respect d'obligations en présence d'une personne faisant l'objet de sanctions internationales, comme c'est le cas du recourant. A son avis, il n'est pas possible de déterminer les limites de l'obligation pour l'intimée de se conformer aux ordres de son client. Elle constate enfin que l'autorisation donnée le 15 juin 2023 par le SECO a expiré le 31 décembre 2023 sans que le recourant n'en ait demandé la prolongation. Il faut dès lors apprécier la portée de la décision du SECO, ce qui est incompatible avec la nature et le but de la procédure du cas clair.</w:t>
      </w:r>
    </w:p>
    <w:p>
      <w:r>
        <w:rPr>
          <w:b/>
        </w:rPr>
        <w:t>E. 5.3</w:t>
      </w:r>
    </w:p>
    <w:p>
      <w:r>
        <w:t>Dans son mémoire de recours, l'intéressé prétend que les sanctions étrangères n'ont aucune vocation à s'appliquer en l'espèce. Il affirme, en outre, que les conditions générales de l'intimée ne lui laissent aucune marge de manoeuvre contractuelle, étant donné qu'il dispose de fonds suffisants sur son compte et que ses instructions sont conformes au droit. A son avis, le refus de l'intimée d'exécuter l'ordre litigieux est constitutif d'un abus de droit. Enfin, il estime suffisant que l'ordre de transfert ait été donné avant le 31 décembre 2023, la question afférente au renouvellement de l'autorisation délivrée par le SECO au-delà de cette date étant ainsi sans incidence.</w:t>
      </w:r>
    </w:p>
    <w:p>
      <w:r>
        <w:rPr>
          <w:b/>
        </w:rPr>
        <w:t>E. 5.4</w:t>
      </w:r>
    </w:p>
    <w:p>
      <w:r>
        <w:t>Force est de relever d'emblée que l'intéressé se contente essentiellement, sur un mode largement appellatoire au demeurant, de substituer sa propre vision des choses à l'appréciation de la cour cantonale, de sorte que la recevabilité du grief apparaît sujette à caution. Quoi qu'il en soit, l'argumentation présentée par le recourant n'emporte pas la conviction de la Cour de céans. Devant la cour cantonale, l'intimée a en effet soutenu que l'autorisation du SECO était insuffisante et qu'il y avait lieu d'obtenir l'aval des autorités étrangères compétentes avant de pouvoir exécuter le paiement requis, faute de quoi celui-ci pourrait l'exposer, elle ou les autres entités du groupe, à des sanctions internationales, voire à des risques juridiques ou réputationnels. Elle a également relevé que ses conditions générales lui accordent une certaine marge de manoeuvre pour refuser d'exécuter l'ordre litigieux lorsque celui-ci émane d'un client placé sur une liste de personnes visées par des sanctions internationales. L'intimée a ainsi soulevé des objections qui ne pouvaient pas être écartées immédiatement et qui étaient de nature à ébranler la conviction du juge. Les explications avancées par le recourant, qui se résument dans une large mesure à une interprétation toute personnelle de la portée exacte des sanctions internationales le visant ainsi que des conditions générales applicables au contrat conclu par les parties, ne permettent manifestement pas de retenir que la situation juridique est en l'occurrence claire. Partant, l'autorité précédente n'a pas violé le droit fédéral en jugeant irrecevable la requête introduite par le recourant, étant donné que la situation juridique n'est pas claire selon l' art. 257 CPC .</w:t>
      </w:r>
    </w:p>
    <w:p>
      <w:r>
        <w:rPr>
          <w:b/>
        </w:rPr>
        <w:t>E. 6</w:t>
      </w:r>
    </w:p>
    <w:p>
      <w:r>
        <w:t>Au vu de ce qui précède, le recours doit être rejeté dans la mesure de sa recevabilité. Étant donné les circonstances, le Tribunal fédéral renoncera, à titre exceptionnel, à la perception de frais judiciaires (art. 66 al. 1 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