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394/2021 vom 11. Januar 2022</w:t>
      </w:r>
    </w:p>
    <w:p>
      <w:r>
        <w:t>Bundesgericht, 2022-01-11, DE</w:t>
      </w:r>
    </w:p>
    <w:p>
      <w:r>
        <w:rPr>
          <w:b/>
        </w:rPr>
        <w:t xml:space="preserve">Quelle: </w:t>
      </w:r>
      <w:r>
        <w:t>https://mcp.opencaselaw.ch/entscheid/bger_4A_394_2021</w:t>
      </w:r>
    </w:p>
    <w:p>
      <w:r>
        <w:t>FR: TF 4A 394/2021 du 11 janvier 2022</w:t>
      </w:r>
    </w:p>
    <w:p>
      <w:r>
        <w:t>IT: TF 4A 394/2021 del 11 gennaio 2022</w:t>
      </w:r>
    </w:p>
    <w:p>
      <w:pPr>
        <w:pStyle w:val="Heading2"/>
      </w:pPr>
      <w:r>
        <w:t>Regeste</w:t>
      </w:r>
    </w:p>
    <w:p>
      <w:r>
        <w:t>Krankentaggeld: Art. 40 VVG, | Vertragsrecht</w:t>
      </w:r>
    </w:p>
    <w:p>
      <w:pPr>
        <w:pStyle w:val="Heading2"/>
      </w:pPr>
      <w:r>
        <w:t>Erwägungen</w:t>
      </w:r>
    </w:p>
    <w:p>
      <w:r>
        <w:rPr>
          <w:b/>
        </w:rPr>
        <w:t>E. 1</w:t>
      </w:r>
    </w:p>
    <w:p>
      <w:r>
        <w:t>Das angefochtene Urteil des Sozialversicherungsgerichts hat eine Streitigkeit aus einer Zusatzversicherung zur sozialen Krankenversicherung gemäss Art. 7 ZPO zum Gegenstand.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Kritisieren die Parteien die vorinstanzliche Beweiswürdigung,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144 III 264 E. 6.2.3; 141 III 564 E. 4.1).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Hat der Anspruchsberechtigte oder sein Vertreter Tatsachen, welche die Leistungspflicht des Versicherers ausschliessen oder mindern würden, zum Zwecke der Täuschung unrichtig mitgeteilt oder verschwiegen oder hat er die ihm nach Massgabe von Art. 39 VVG obliegenden Mitteilungen zum Zwecke der Täuschung zu spät oder gar nicht gemacht, so ist der Versicherer gemäss Art. 40 VVG gegenüber dem Anspruchsberechtigten nicht an den Vertrag gebunden.</w:t>
      </w:r>
    </w:p>
    <w:p>
      <w:r>
        <w:rPr>
          <w:b/>
        </w:rPr>
        <w:t>E. 3.1</w:t>
      </w:r>
    </w:p>
    <w:p>
      <w:r>
        <w:t>In objektiver Hinsicht liegt eine betrügerische Begründung des Versicherungsanspruchs im Sinne von Art. 40 VVG vor,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Bestand oder Umfang der Leistungspflicht des Versicherers zu beeinflussen; der Versicherer müsste dem Anspruchsberechtigten bei korrekter Mitteilung des Sachverhalts eine kleinere oder gar keine Entschädigung ausrichten (Urteile 4A_536/2020 vom 19. Januar 2021 E. 5.1; 4A_397/2018 vom 5. September 2019 E. 5.1; 4A_534/2018 vom 17. Januar 2019 E. 3.1; 4A_613/2017 vom 28. September 2018 E. 6.1.1; 4A_401/2017 vom 20. Dezember 2017 E. 6.2.2; 4A_286/2016 vom 29. August 2016 E. 5.1.2; je mit Hinweisen).</w:t>
      </w:r>
    </w:p>
    <w:p>
      <w:r>
        <w:rPr>
          <w:b/>
        </w:rPr>
        <w:t>E. 3.2</w:t>
      </w:r>
    </w:p>
    <w:p>
      <w:r>
        <w:t>Zusätzlich zu den objektiven Voraussetzungen von Art. 40 VGG muss als subjektives Element die Täuschungsabsicht hinzutreten, wonach der Anspruchsteller dem Versicherer mit Wissen und Willen unwahre Angaben macht, um einen Vermögensvorteil zu erlangen (Urteile 4A_536/2020 vom 19. Januar 2021 E. 5.1; 4A_397/2018 vom 5. September 2019 E. 5.1; 4A_534/2018 vom 17. Januar 2019 E. 3.1; 4A_20/2018 vom 29. Mai 2018 E. 3.1; 4A_613/2017 vom 28. September 2018 E. 6.1.1; 4A_401/2017 vom 20. Dezember 2017 E. 6.2.2 4A_432/2015 vom 8. Februar 2016 E. 5.3). Täuschungsabsicht ist auch schon gegeben, wenn der Anspruchsteller um die falsche Willensbildung beim Versicherer weiss oder dessen Irrtum ausnützt, indem er über den wahren Sachverhalt schweigt oder absichtlich zu spät informiert (Urteile 4A_536/2020 vom 19. Januar 2021 E. 5.1; 4A_401/2017 vom 20. Dezember 2017 E. 6.2.2; 4A_286/2016 vom 29. August 2016 E. 5.1.2; je mit Hinweisen).</w:t>
      </w:r>
    </w:p>
    <w:p>
      <w:r>
        <w:rPr>
          <w:b/>
        </w:rPr>
        <w:t>E. 3.3</w:t>
      </w:r>
    </w:p>
    <w:p>
      <w:r>
        <w:t>Der Anspruchsberechtigte - in der Regel der Versicherungsnehmer, der versicherte Dritte oder der Begünstigte - hat die Tatsachen zur "Begründung des Versicherungsanspruches" (Marginalie zu Art. 39 VVG ) zu beweisen, also namentlich das Bestehen eines Versicherungsvertrags, den Eintritt des Versicherungsfalls und den Umfang des Anspruchs. Den Versicherer trifft demgegenüber die Beweislast für Tatsachen, die ihn zu einer Kürzung oder Verweigerung der vertraglich vorgesehenen Leistung berechtigen oder die den Versicherungsvertrag gegenüber dem Anspruchsberechtigten unverbindlich machen (Urteil 4A_117/2021 vom 31. August 2021 E. 3.3.1, zur Publikation vorgesehen; BGE 130 III 321 E. 3.1), wie z.B. die betrügerische Begründung des Versicherungsanspruches nach Art. 40 VVG ( BGE 130 III 321 E. 3.1; Urteil 4A_490/2019 vom 26. Mai 2020 E. 5.10.1; 4A_397/2018 vom 5. September 2019 E. 5.1; 4A_534/2018 vom 17. Januar 2019 E. 3.1; 4A_613/2017 vom 28. September 2018 E. 6.1.3). Anspruchsberechtigter und Versicherung haben im Streit um vertragliche Leistungen je ihr eigenes Beweisthema und hierfür je den Hauptbeweis zu erbringen. Dies trifft auch dann zu, wenn sich beide Beweisthemen im gleichen Verfahren gegenüberstehen (Urteil 4A_117/2021 vom 31. August 2021 E. 3.3.1, zur Publikation vorgesehen; BGE 130 III 321 E. 3.1; Urteil 4A_194/2016 vom 8. August 2016 E. 3.1).</w:t>
      </w:r>
    </w:p>
    <w:p>
      <w:r>
        <w:rPr>
          <w:b/>
        </w:rPr>
        <w:t>E. 3.4.1</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der vollen Überzeugung,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(Urteil 4A_117/2021 vom 31. August 2021 E. 3.3.1, zur Publikation vorgesehen; BGE 140 III 610 E. 4.1; 132 III 715 E. 3.1; 130 III 321 E. 3.2; 128 III 271 E. 2b/aa).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(Urteil 4A_117/2021 vom 31. August 2021 E. 3.3.1, zur Publikation vorgesehen; BGE 144 III 264 E. 5.3; 141 III 569 E. 2.2.1; 130 III 321 E. 3.2).</w:t>
      </w:r>
    </w:p>
    <w:p>
      <w:r>
        <w:rPr>
          <w:b/>
        </w:rPr>
        <w:t>E. 3.4.2</w:t>
      </w:r>
    </w:p>
    <w:p>
      <w:r>
        <w:t>Im Zusammenhang mit der betrügerischen Begründung des Versicherungsanspruches nach Art. 40 VGG hat das Bundesgericht bereits mehrfach entschieden, dass das Beweismass der überwiegenden Wahrscheinlichkeit gilt (Urteile 4A_378/2021 vom 12. Oktober 2021 E. 4.1; 4A_397/2018 vom 5. September 2019 E. 5.1; 4A_534/2018 vom 17. Januar 2019 E. 3.1; 4A_613/2017 vom 28. September 2018 E. 6.1.3; 4A_20/2018 vom 29. Mai 2018 E. 3.1; 4A_194/2016 vom 8. August 2016 E. 3.1). In anderen Entscheiden hat das Bundesgericht festgehalten, dass das Beweismass für die Täuschungsabsicht auf die überwiegende Wahrscheinlichkeit reduziert sei (Urteil 4A_211/2017 vom 4. Dezember 2017 E. 3.1; 4A_432/2015 vom 8. Februar 2016 E. 2.2), oder dass keine Gründe ersichtlich seien, weshalb diese Beweiserleichterung nicht auch auf die vorliegende Konstellation [von Art. 40 VVG ], namentlich für den Beweis der absichtlichen Herbeiführung des Versicherungsfalls (mit oder ohne Täuschungswille, der naturgemäss nur schwierig zu erbringen sei), Anwendung finden sollte (Urteil 4A_382/2014 vom 3. März 2015 E. 5.3 mit Hinweis auf Jürg Nef, in: Heinrich Honsell / Nedim Peter Vogt / Anton K. Schnyder [Hrsg.], Basler Kommentar, Bundesgesetz über den Versicherungsvertrag [VVG], 2001, N. 57 zu Art. 40 VVG ).</w:t>
      </w:r>
    </w:p>
    <w:p>
      <w:r>
        <w:rPr>
          <w:b/>
        </w:rPr>
        <w:t>E. 3.4.3</w:t>
      </w:r>
    </w:p>
    <w:p>
      <w:r>
        <w:t>Soweit mit ersteren Entscheiden der Eindruck entstanden sein sollte, dass das Beweismass der überwiegenden Wahrscheinlichkeit für alle Voraussetzungen von Art. 40 VVG gelte, ist dies klar zustellen: Das Beweismass der überwiegenden Wahrscheinlichkeit setzt eine Beweisnot voraus (Erwägung 3.4.1). Entsprechend ist zu prüfen, ob für den von der Versicherung obliegenden Beweis der betrügerischen Begründung des Versicherungsanspruches eine solche Not besteht. Gemäss Art. 40 VVG muss die Versicherung zwei Voraussetzungen nachweisen: Erstens die wahrheitswidrige Darstellung von Fakten durch den Versicherten (Erwägung 3.1) und zweitens die Täuschungsabsicht (Erwägung 3.2). Hinsichtlich der Täuschungsabsicht als innerpsychologisches Phänomen liegt eine Beweisnot vor und der Nachweis mit dem Beweismass der überwiegenden Wahrscheinlichkeit genügt. Beim Beweis der objektiven Voraussetzung der Darstellung von wahrheitswidrigen Fakten besteht demgegenüber keine generelle Beweisnot. Der Nachweis ist daher grundsätzlich mit dem strikten Beweismass zu erbringen (vgl. Nef, a.a.O., N. 59 zu Art. 40 VVG ). Es gibt aber Konstellationen, bei denen ausnahmsweise eine Beweisnot bestehen kann. So lässt sich beispielsweise die Vortäuschung eines Diebstahls in aller Regel nicht strikt nachweisen (vgl. Urteil 4A_117/2021 vom 31. August 2021 E. 3.3.1, zur Publ. bestimmt), sodass sich in solchen Fällen das herabgesetzte Beweismass der überwiegenden Wahrscheinlichkeit auch auf den objektiven Tatbestand von Art. 40 VVG bezieht.</w:t>
      </w:r>
    </w:p>
    <w:p>
      <w:r>
        <w:rPr>
          <w:b/>
        </w:rPr>
        <w:t>E. 4</w:t>
      </w:r>
    </w:p>
    <w:p>
      <w:r>
        <w:t>Die Vorinstanz kam in eingehender Beweiswürdigung zum Schluss, die Beschwerdegegnerin habe den Nachweis nicht erbringen können, dass der Beschwerdeführer neben dem 21. Mai 2016 über längere Zeit seiner Berufstätigkeit nachgegangen sei. Hingegen sei die Arbeitstätigkeit vom 21. Mai 2016 nicht strittig (und damit erwiesen). Diesen Umstand habe der Beschwerdeführer zehn Tage danach gegenüber dem Schadenexperten verschwiegen. Die Vorinstanz verwarf die These des Beschwerdeführers, dass es sich dabei lediglich um einen gescheiterten Arbeitsversuch gehandelt habe, und betrachtete den insofern dem Beschwerdeführer obliegenden Beweis als gescheitert. Eventualiter erwog sie, selbst wenn der Beschwerdeführer die Arbeit nur für einen Versuch wieder aufgenommen hätte, hätte er die Beschwerdegegnerin darüber informieren müssen, damit sie die Taggelder entsprechend hätte anpassen können. Indem er trotz attestierter vollständiger Arbeitsunfähigkeit seiner Berufstätigkeit nachgegangen sei und es unterlassen habe, dies der Beschwerdegegnerin mitzuteilen, habe er die anspruchsbegründenden Tatsachen wahrheitswidrig dargestellt, womit die objektiven Voraussetzungen der betrügerischen Anspruchsbegründung erfüllt seien. Die Wiederaufnahme der Arbeit habe er gegenüber der Beschwerdegegnerin verschwiegen, damit sie keine Anpassung der Taggelder vornehme und weiterhin das Taggeld aufgrund einer 100%igen Arbeitsunfähigkeit ausrichte. Damit seien auch die subjektiven Voraussetzungen der betrügerischen Anspruchsbegründung erfüllt. Demnach sei die Beschwerdegegnerin an den Vertrag nicht gebunden, weshalb sie die bereits entrichteten Taggelder zu Recht zurückfordere.</w:t>
      </w:r>
    </w:p>
    <w:p>
      <w:r>
        <w:rPr>
          <w:b/>
        </w:rPr>
        <w:t>E. 5</w:t>
      </w:r>
    </w:p>
    <w:p>
      <w:r>
        <w:t>Der Beschwerdeführer rügt, die Vorinstanz habe Bundesrecht verletzt, indem sie davon ausgegangen sei, dass in objektiver Hinsicht eine Täuschung im Sinne von Art. 40 VVG vorgelegen habe. Er habe lediglich einen gescheiterten Arbeitsversuch unternommen. Da er gescheitert sei, hätte er die Leistungspflicht der Beschwerdegegnerin weder mindern geschweige denn aufheben können. Sollte auch der blosse Versuch unter Art. 40 VVG fallen, so müsse vielmehr von einer Massnahme zur Schadensminderung ausgegangen werden.</w:t>
      </w:r>
    </w:p>
    <w:p>
      <w:r>
        <w:rPr>
          <w:b/>
        </w:rPr>
        <w:t>E. 5.1</w:t>
      </w:r>
    </w:p>
    <w:p>
      <w:r>
        <w:t>Er wirft der Vorinstanz zunächst vor, den rechtserheblichen Sachverhalt offensichtlich unrichtig erhoben zu haben, weil sie verkenne, dass die Wiederaufnahme der Berufstätigkeit am 21. Mai 2016 "gleich zu Anfang (auf dem Weg zur Arbeit E. 4.7, Urk. 2/13) in einem Verkehrsunfall endete". Aufgrund dieses Sachverhalts sei erstellt, dass die Wiederaufnahme der Arbeitstätigkeit gescheitert sei. Dies lasse die Vorinstanz "völlig unberücksichtigt". Damit belegt der Beschwerdeführer keine offensichtlich unrichtige Sachverhaltsfeststellung (vgl. E. 2.2). Die angegebene Aktenstelle (Urk. 2/13) ist eine Beilage zur Klage, konkret sein Schreiben an seine Rechtsschutzversicherung vom 15. März 2017. Darin führte er aus, dass er sich "auf den Weg zur Arbeit machte". Die Vorinstanz gibt dieses Schreiben im angefochtenen Entscheid wieder (E. 4.7). Sie hat es also keineswegs ignoriert. Wenn sie gestützt auf diese unbelegte, blosse Behauptung des Beschwerdeführers in einem Schreiben an seine Rechtsschutzversicherung jedoch nicht festhielt, die Wiederaufnahme der Arbeitstätigkeit habe "gleich zu Anfang" wegen des Unfalls geendet, kann ihr keine willkürliche Feststellung vorgeworfen werden. Folgerichtig erhob sie den Sachverhalt auch nicht aktenwidrig, indem sie nicht von einem "Scheitern" der Wiederaufnahme der Arbeitstätigkeit ausging. Es bleibt daher bei der Feststellung der Vorinstanz, dass der Beschwerdeführer am 21. Mai 2016 die Arbeitstätigkeit wieder aufnahm. Soweit der Beschwerdeführer seine rechtliche Kritik an der Anwendung von Art. 40 VVG auf seine abweichende Sachverhaltsdarstellung stützt, kann er nicht gehört werden, insbesondere soweit er vorbringt, die gescheiterte Wiederaufnahme der Arbeitstätigkeit habe keine Auswirkungen auf die Leistungspflicht der Beschwerdegegnerin und sei nicht der Auskunftspflicht unterlegen.</w:t>
      </w:r>
    </w:p>
    <w:p>
      <w:r>
        <w:rPr>
          <w:b/>
        </w:rPr>
        <w:t>E. 5.2</w:t>
      </w:r>
    </w:p>
    <w:p>
      <w:r>
        <w:t>Die Vorinstanz gelangte in Würdigung der Akten und Aussagen des Beschwerdeführers zum Ergebnis, der Beschwerdeführer habe nicht nachweisen können, dass es sich bloss um einen mit dem Arzt abgesprochenen Arbeitsversuch gehandelt habe. Laut Beschwerde soll dies eine "offensichtlich fehlerhafte Rechtsanwendung und Sachverhaltsfeststellung" sein. Was zur Begründung vorgebracht wird, erschöpft sich jedoch in appellatorischer Kritik, ohne dass die Beweiswürdigung der Vorinstanz als geradezu willkürlich ausgewiesen wird. Darauf ist nicht weiter einzugehen.</w:t>
      </w:r>
    </w:p>
    <w:p>
      <w:r>
        <w:rPr>
          <w:b/>
        </w:rPr>
        <w:t>E. 5.3</w:t>
      </w:r>
    </w:p>
    <w:p>
      <w:r>
        <w:t>Ist aber gestützt auf die verbindlichen Feststellungen der Vorinstanz davon auszugehen, dass der Beschwerdeführer am 21. Mai 2016 während seiner gegenüber der Beschwerdegegnerin deklarierten vollständigen Arbeitsunfähigkeit seiner Berufstätigkeit nachging und diesen Umstand zehn Tage später gegenüber dem Schadenexperten verschwieg, bejahte die Vorinstanz den objektiven Tatbestand der betrügerischen Begründung des Versicherungsanspruchs im Sinne von Art. 40 VVG zu Recht. Denn die verschwiegenen Tatsachen sind geeignet, die Leistungspflicht der Beschwerdegegnerin auszuschliessen oder zumindest zu mindern. Inwiefern die Vorinstanz Bundesrecht verletzt hätte, als sie gestützt auf die von ihr festgestellten Tatsachen zum Schluss kam, dass der Beschwerdeführer die Wiederaufnahme der Arbeit gegenüber der Beschwerdegegnerin verschwiegen habe, damit sie keine Anpassung der Taggelder vornehme und weiterhin das Taggeld aufgrund einer Arbeitsunfähigkeit von 100% ausrichte, womit auch die subjektiven Voraussetzungen der betrügerischen Anspruchsbegründung erfüllt seien, wird vom Beschwerdeführer nicht darlegt, zumindest nicht hinreichend. Einmal mehr trägt er bloss vor, der Arbeitsversuch sei gleich zu Beginn gescheitert und hätte daher die Leistungspflicht der Beschwerdegegnerin nicht beeinflusst, weshalb er nicht mitzuteilen gewesen sei. Nachdem aber nicht von einem gescheiterten Versuch sondern von der Ausübung der Berufstätigkeit auszugehen ist, entbehrt diese Argumentation von vornherein der Grundlage. Ohnehin erwog die Vorinstanz eventualiter zu Recht, dass die Wiederaufnahme der Arbeitstätigkeit auch dann relevant für die Leistungspflicht der Beschwerdegegnerin und daher mitteilungspflichtig gewesen wäre, wenn es sich bloss um einen Arbeitsversuch gehandelt hätte, da auch ein solcher zu einer Anpassung des Taggeldes führen kann.</w:t>
      </w:r>
    </w:p>
    <w:p>
      <w:r>
        <w:rPr>
          <w:b/>
        </w:rPr>
        <w:t>E. 5.4</w:t>
      </w:r>
    </w:p>
    <w:p>
      <w:r>
        <w:t>Nicht zu beanstanden ist schliesslich, dass die Vorinstanz den Einwand des Beschwerdeführers verwarf, er sei mit der Wiederaufnahme der Arbeitstätigkeit am 21. Mai 2016 bloss seiner Schadensminderungspflicht nachgekommen. Die Vorinstanz hielt dem entgegen, zur Schadensminderung gehöre nicht, während der Krankheit die Arbeit wieder aufzunehmen, sondern für fachgemässe Behandlung zu sorgen und den Anordnungen der behandelnden Ärzte zu folgen sowie die bisherige Tätigkeit anzupassen oder eine andere zumutbare aufzunehmen. Der Beschwerdeführer hält es für nicht nachvollziehbar, weshalb den Versicherten, die sich in der Lage fühlten und motiviert seien, ihre Arbeitstätigkeit zumindest versuchsweise wieder aufzunehmen, dieses Instrumentarium zur Schadensminderung entzogen sein soll. Er verkennt, dass wenn Solches wirklich zur Schadensminderung erfolgen würde, dies der Versicherung anzuzeigen wäre, damit sie ihre Leistungen anpassen kann. Hier wurde aber die Arbeitstätigkeit wieder aufgenommen und gleichzeitig ein Taggeld auf der Grundlage einer vollständigen Arbeitsunfähigkeit bezogen. Damit scheidet eine Massnahme der Schadensminderung von vornherein aus. Die Rüge ist unbegründet.</w:t>
      </w:r>
    </w:p>
    <w:p>
      <w:r>
        <w:rPr>
          <w:b/>
        </w:rPr>
        <w:t>E. 6</w:t>
      </w:r>
    </w:p>
    <w:p>
      <w:r>
        <w:t>Die Beschwerde ist abzuweisen, soweit darauf eingetreten werden kann. Bei diesem Ausgang des Verfahrens wird der Beschwerdeführer kostenpflichtig ( Art. 66 Abs. 1 BGG ). Der Beschwerdegegnerin ist für das bundesgerichtliche Verfahren kein entschädigungspflichtiger Aufwand erwachsen. Es ist daher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