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4A_394/2014 vom 1. Dezember 2014</w:t>
      </w:r>
    </w:p>
    <w:p>
      <w:r>
        <w:t>Bundesgericht, 2014-12-01, DE</w:t>
      </w:r>
    </w:p>
    <w:p>
      <w:r>
        <w:rPr>
          <w:b/>
        </w:rPr>
        <w:t xml:space="preserve">Quelle: </w:t>
      </w:r>
      <w:r>
        <w:t>https://mcp.opencaselaw.ch/entscheid/bger_4A_394_2014</w:t>
      </w:r>
    </w:p>
    <w:p>
      <w:r>
        <w:t>FR: TF 4A_394/2014 du 1 décembre 2014</w:t>
      </w:r>
    </w:p>
    <w:p>
      <w:r>
        <w:t>IT: TF 4A_394/2014 del 1 dicembre 2014</w:t>
      </w:r>
    </w:p>
    <w:p>
      <w:pPr>
        <w:pStyle w:val="Heading2"/>
      </w:pPr>
      <w:r>
        <w:t>Erwägungen</w:t>
      </w:r>
    </w:p>
    <w:p>
      <w:r>
        <w:rPr>
          <w:b/>
        </w:rPr>
        <w:t>E. 1</w:t>
      </w:r>
    </w:p>
    <w:p>
      <w:r>
        <w:t>Die Vorinstanz ging davon aus, für die Frage, ob der Beschwerdegegner das Recht, die Erbschaft auszuschlagen, verwirkt habe, sei ohne Belang, was im Zeitraum seit dem Tode des Erblassers und der Wiederherstellung der Ausschlagungsfrist geschehen sei. Der Beschwerdeführer rügt diese Annahme als bundesrechtswidrig. Angesichts dieser Rüge erweist sich der blosse Rückweisungsantrag als hinreichend, da das Bundesgericht, sollte es die Rechtsauffassung des Beschwerdeführers als begründet erachten, materiell nicht selbst entscheiden könnte, sondern die Sache an die Vorinstanz zur Sachverhaltsergänzung zurückweisen müsste ( BGE 133 III 489 E. 3.1 mit Hinweisen). Es fehlen sowohl die Feststellungen zu den vor der Wiederherstellung der Ausschlagungsfrist erfolgten Handlungen des Beschwerdegegners, die nach Auffassung des Beschwerdeführers eine Einmischung in die Angelegenheiten der Erbschaft darstellen sollen, als auch Feststellungen zum bestrittenen Bestand der Forderungen.</w:t>
      </w:r>
    </w:p>
    <w:p>
      <w:r>
        <w:rPr>
          <w:b/>
        </w:rPr>
        <w:t>E. 2</w:t>
      </w:r>
    </w:p>
    <w:p>
      <w:r>
        <w:t>Die gesetzlichen und die eingesetzten Erben haben die Befugnis, die Erbschaft, die ihnen zugefallen ist, auszuschlagen ( Art. 566 Abs. 1 ZGB ). Nach Art. 570 ZGB ist die Ausschlagung bei der zuständigen Behörde mündlich oder schriftlich zu erklären (Abs. 1). Sie muss unbedingt und vorbehaltlos geschehen (Abs. 2), und die Behörde hat über die Ausschlagungen ein Protokoll zu führen (Abs. 3). Die Protokollierung schafft lediglich den Beweis für die Abgabe und den Zeitpunkt der Ausschlagungserklärung und hat keinerlei Rechtskraftwirkung zwischen den Erben und den Gläubigern des Erblassers; diesen bleibt es unbenommen, gegen den ausschlagenden Erben vorzugehen indem sie auf dem ordentlichen Prozessweg die infolge Verwirkung ungültige Ausschlagung beseitigen (Urteil des Bundesgerichts 5A_44/2013 vom 25. April 2013 E. 3 mit Hinweisen, nicht publiziert in: BGE 139 III 225 ).</w:t>
      </w:r>
    </w:p>
    <w:p>
      <w:r>
        <w:rPr>
          <w:b/>
        </w:rPr>
        <w:t>E. 2.1</w:t>
      </w:r>
    </w:p>
    <w:p>
      <w:r>
        <w:t>Die Frist zur Ausschlagung beträgt drei Monate und beginnt für die gesetzlichen Erben grundsätzlich mit dem Zeitpunkte, da ihnen der Tod des Erblassers bekannt geworden ist ( Art. 567 ZGB ). Aus wichtigen Gründen kann ihnen die zuständige Behörde zur Ausschlagung der Erbschaft eine Fristverlängerung gewähren oder eine neue Frist ansetzen ( Art. 576 ZGB ). Hat ein Erbe die Ausschlagungsbefugnis durch Einmischung in die Angelegenheiten der Erbschaft verwirkt, ist eine Neuansetzung der Ausschlagungsfrist oder deren Verlängerung ausgeschlossen ( BGE 114 II 220 E. 2 S. 222; vgl. auch BGE 104 II 249 E. 5 S. 254; TUOR/PICENONI, Berner Kommentar, 2. Aufl. 1964, N. 6 zu Art. 576 ZGB ; ESCHER/ESCHER, Zürcher Kommentar, 3. Aufl. 1960, N. 3 zu Art. 576 ZGB ; SCHWANDER, in: Basler Kommentar, Zivilgesetzbuch II, 4. Aufl. 2011, N. 3 zu Art. 576; PIOTET, Erbrecht, in: Schweizerisches Privatrecht, Bd. IV/2, 1981, S. 589 § 76 III.D; NICOLAS ROUILLER, in: Commentaire du droit des successions, Eigenmann/Rouiller [Hrsg.], 2012, N. 18 f. zu Art. 576 ZGB ; MATTHIAS HÄUPTLI, in: Praxiskommentar Erbrecht, Abt/Weibel [Hrsg.], 2. Aufl. 2011, N. 3 zu Art. 576 ZGB ). Es ist aber nicht an der Erstreckungsbehörde, rechtskräftig über die Frage der Einmischung zu entscheiden ( PIOTET, a.a.O., S. 589 § 76 III.D; ESCHER/ESCHER, a.a.O., N. 3 zu Art. 576 ZGB ). Dem Gläubiger, der in das Fristverlängerungsverfahren in der Regel nicht einbezogen wird ( HÄUPTLI, a.a.O., N. 6 zu Art. 576; ROUILLER, a.a.O., N. 7 zu Art. 576 Fn. 14), bleibt es daher vorbehalten, trotz der Erstreckung oder der Restitution die Verwirkung nötigenfalls im Prozess geltend zu machen ( ESCHER/ESCHER, a.a.O., N. 3 zu Art. 576 ZGB ).</w:t>
      </w:r>
    </w:p>
    <w:p>
      <w:r>
        <w:rPr>
          <w:b/>
        </w:rPr>
        <w:t>E. 2.2</w:t>
      </w:r>
    </w:p>
    <w:p>
      <w:r>
        <w:t>Vor diesem Hintergrund beanstandet der Beschwerdeführer den angefochtenen Entscheid zu Recht. Es ist sehr wohl von Belang, was im Zeitraum zwischen dem Tode des Erblassers und der Wiederherstellung der Ausschlagungsfrist beziehungsweise vor Kenntnisnahme der gegenüber dem Erblasser geltend gemachten Schulden durch den Beschwerdegegner geschehen ist. Hat sich der Beschwerdegegner in diesem Zeitraum in die Angelegenheiten der Erbschaft eingemischt, kann trotz der unangefochtenen Fristerstreckung keine gültige Ausschlagung erfolgen. Die Frage, ob sich der Beschwerdegegner darauf berufen könnte, eine allfällige konkludente Annahme nach Art. 571 Abs. 2 ZGB sei für ihn wegen eines wesentlichen Irrtums (hier die Unkenntnis der gegenüber dem Erblasser geltend gemachten Schulden) unverbindlich im Sinne von Art. 23 OR (vgl. BGE 104 II 249 E. 5 S. 254; SCHWANDER, a.a.O., N. 3 zu Art. 576; TUOR/PICENONI, a.a.O., N. 6 zu Art. 576 ZGB ; ESCHER/ESCHER, a.a.O., N. 3 zu Art. 576 ZGB ; PIOTET, a.a.O., S. 589 § 76 III.D; ROUILLER, a.a.O., N. 26 ff.; HÄUPTLI, a.a.O., N. 3 zu Art. 576 ZGB ), braucht nicht weiter behandelt zu werden. Es ist nicht festgestellt, dass der Beschwerdegegner geltend gemacht hätte, er habe Einmischungshandlungen nur aufgrund eines Willensmangels begangen ( BGE 104 II 249 E. 5 S. 254). Auch die Frage, ob eine Anfechtung wegen Willensmängeln vor dem ordentlichen Gericht zu erfolgen hätte ( HÄUPTLI, a.a.O., N. 3 zu Art. 576 ZGB mit Hinweis) oder im Fristerstreckungsverfahren ( ROUILLER, a.a.O., N. 26 ff. zu Art. 576 ZGB ) kann damit offen bleiben (vgl. auch ESCHER/ESCHER, a.a.O., N. 3 zu Art. 576 ZGB ; PIOTET, a.a.O., S. 589 § 76 III.D). Die Sache ist an die Vorinstanz zurückzuweisen, damit sie die Frage der Einmischung umfassend beurteilen kann. Auf die Vorbringen des Beschwerdeführers, er habe auch für den von der Vorinstanz als massgebend angenommenen Zeitraum eine Einmischung behauptet, braucht somit nicht näher eingegangen zu werden.</w:t>
      </w:r>
    </w:p>
    <w:p>
      <w:r>
        <w:rPr>
          <w:b/>
        </w:rPr>
        <w:t>E. 2.3</w:t>
      </w:r>
    </w:p>
    <w:p>
      <w:r>
        <w:t>Der Beschwerdeführer zeigt ferner durch Aktenhinweis auf, dass er die Rechtzeitigkeit des Gesuchs, eine neue Ausschlagungsfrist anzusetzen, im kantonalen Verfahren bestritten hat. Sollte die Vorinstanz die Ausschlagungsbefugnis nicht als zufolge Einmischung verwirkt betrachten, hat sie sich mit diesem Vorbringen auseinanderzusetzen oder darzutun, aus welchen Gründen sich ein Eingehen darauf erübrigt. Sonst kann ihr Entscheid insoweit nicht sachgerecht angefochten werden ( BGE 136 I 184 E. 2.2.1 S. 188; 133 III 439 E. 3.3 S. 445). Auch die diesbezügliche Rüge der Verletzung des rechtlichen Gehörs ( Art. 29 Abs. 2 BV ) ist begründet.</w:t>
      </w:r>
    </w:p>
    <w:p>
      <w:r>
        <w:rPr>
          <w:b/>
        </w:rPr>
        <w:t>E. 3</w:t>
      </w:r>
    </w:p>
    <w:p>
      <w:r>
        <w:t>Damit erweist sich die Beschwerde als begründet. Der angefochtene Entscheid ist aufzuheben und die Sache an die Vorinstanz zu neuer Entscheidung zurückzuweisen. Dem Ausgang des Verfahrens entsprechend wird der Beschwerdegegner kosten- und entschädigungspflichtig. Damit kommt dem Gesuch um unentgeltliche Prozessführung nur bei Uneinbringlichkeit der Parteientschädigung Bedeutung zu. In diesem Fall ist das Honorar des Rechtsvertreters des Beschwerdeführers aus der Gerichtskasse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