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393/2020 vom 27. Januar 2021</w:t>
      </w:r>
    </w:p>
    <w:p>
      <w:r>
        <w:t>Bundesgericht, 2021-01-27, FR</w:t>
      </w:r>
    </w:p>
    <w:p>
      <w:r>
        <w:rPr>
          <w:b/>
        </w:rPr>
        <w:t xml:space="preserve">Quelle: </w:t>
      </w:r>
      <w:r>
        <w:t>https://mcp.opencaselaw.ch/entscheid/bger_4A_393_2020</w:t>
      </w:r>
    </w:p>
    <w:p>
      <w:r>
        <w:t>FR: TF 4A 393/2020 du 27 janvier 2021</w:t>
      </w:r>
    </w:p>
    <w:p>
      <w:r>
        <w:t>IT: TF 4A 393/2020 del 27 gennaio 2021</w:t>
      </w:r>
    </w:p>
    <w:p>
      <w:pPr>
        <w:pStyle w:val="Heading2"/>
      </w:pPr>
      <w:r>
        <w:t>Regeste</w:t>
      </w:r>
    </w:p>
    <w:p>
      <w:r>
        <w:t>résiliation immédiate du contrat de travail pour justes motifs (art. 337 CO), | Droit des contrats</w:t>
      </w:r>
    </w:p>
    <w:p>
      <w:pPr>
        <w:pStyle w:val="Heading2"/>
      </w:pPr>
      <w:r>
        <w:t>Erwägungen</w:t>
      </w:r>
    </w:p>
    <w:p>
      <w:r>
        <w:rPr>
          <w:b/>
        </w:rPr>
        <w:t>E. 1.1</w:t>
      </w:r>
    </w:p>
    <w:p>
      <w:r>
        <w:t>Interjeté dans le délai fixé par la loi ( art. 100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p. 317; 134 III 379 consid. 1.3 p. 383; 133 III 489 consid. 3.1 p. 489).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p. 383; 133 III 489 consid. 3.1 p. 490). En l'espèce, on peine à comprendre les conclusions prises par le recourant, dans la mesure où il conclut à l'admission intégrale des conclusions prises dans sa demande tout en n'énumérant ensuite que certains des chefs de conclusions de ladite demande. Seuls ces derniers seront pris en considération.</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2.3</w:t>
      </w:r>
    </w:p>
    <w:p>
      <w:r>
        <w:t>En l'espèce, le recourant fait valoir de nombreux faits que l'arrêt entrepris aurait méconnus. Dans la mesure où il se contente principalement de substituer sa version des faits à celle de la cour cantonale, ses critiques sont de nature essentiellement appellatoire. En l'absence d'explications claires et circonstanciées tendant à démontrer que les conditions d'un complètement de l'état de fait seraient remplies et faute de renvoi aux pièces du dossier et aux éventuelles allégations conformes aux règles de procédure, le grief est irrecevable et l'état de fait ne sera donc pas complété. Le recourant considère par ailleurs que c'est à tort que la cour cantonale a retenu que le témoignage de G.________ n'avait pas été remis en cause par les parties. Pour preuve de sa contestation de ce témoignage, il ne se prévaut toutefois que de ses écritures du 20 juillet 2018, antérieures au témoignage litigieux qui date du 11 avril 2019. Cette référence à 12 pages de déterminations sur les allégués de la réponse ne remplit par ailleurs pas les exigences de précision requises de jurisprudence constante en matière de critique de l'état de fait. Le recourant n'établit ainsi pas, ou du mois pas de manière suffisante, que l'appréciation de ce témoignage par l'autorité précédente serait arbitraire. Le grief est irrecevable. Il en va de même de la critique du recourant relative à l'appréciation de l'autorité précédente selon laquelle l'avertissement effectué par l'intimée le 2 août 2017 portait non seulement sur la fourniture des documents requis, mais également sur toutes les obligations du recourant relatives au transfert des actions, ce qui comprenait le paiement du prix. En effet, l'avertissement mettait en demeure le travailleur de fournir à l'employeuse les documents demandés dans la pièce jointe, soit dans le courriel du 27 juillet 2017 qui indique que les formalités nécessaires incluent le paiement de 400'000 USD. Partant, l'autorité précédente n'a pas fait preuve d'arbitraire et le grief doit être rejeté. Enfin, la critique du recourant relative au transfert des actions de D.________ Ltd ne remplit manifestement pas les exigences de motivation ( art. 42 al. 2 LTF ). Son grief, qui tient en sept lignes, est irrecevable.</w:t>
      </w:r>
    </w:p>
    <w:p>
      <w:r>
        <w:rPr>
          <w:b/>
        </w:rPr>
        <w:t>E. 3</w:t>
      </w:r>
    </w:p>
    <w:p>
      <w:r>
        <w:t>Avant d'examiner si l'employeuse peut se prévaloir de justes motifs de résiliation immédiate, il s'impose d'interpréter la clause contractuelle sur la fin des rapports de travail lorsque l'employé devient actionnaire. Le recourant fait valoir que l'autorité précédente a procédé à une interprétation erronée du ch. V du contrat en retenant que sa prétention visant à l'application d'un préavis de trois mois à compter du moment où il deviendrait actionnaire ne ressort pas du texte du contrat, dans la mesure où le renvoi du ch. V au ch. III du contrat concerne uniquement les avantages financiers. Le recourant fait valoir que c'est à tort que la cour cantonale a jugé, " exclusivement sur la base du témoignage " de G.________, que le renvoi du ch. V ne concerne pas le délai de résiliation, invoquant à bien le comprendre une violation de l' art. 18 CO .</w:t>
      </w:r>
    </w:p>
    <w:p>
      <w:r>
        <w:rPr>
          <w:b/>
        </w:rPr>
        <w:t>E. 3.1</w:t>
      </w:r>
    </w:p>
    <w:p>
      <w:r>
        <w:t>Pour déterminer ce que les parties voulaient, le juge doit rechercher, dans un premier temps, leur réelle et commune intention, le cas échéant empiriquement, sur la base d'indices ( art. 18 al. 1 CO ; ATF 132 III 268 consid. 2.3.2 p. 274 s.,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arrêts 4A_508/2016 précité consid. 6.2 et les arrêts cités; 4A_98/2016 précité consid. 5.1).</w:t>
      </w:r>
    </w:p>
    <w:p>
      <w:r>
        <w:rPr>
          <w:b/>
        </w:rPr>
        <w:t>E. 3.2</w:t>
      </w:r>
    </w:p>
    <w:p>
      <w:r>
        <w:t>En l'espèce, si le ch. V du contrat de travail renvoie au ch. III, c'est, selon la cour cantonale qui suit en cela le tribunal, uniquement en ce qui concerne les avantages financiers, ce qu'a confirmé le témoin, G.________. Le préavis de trois mois ne s'applique donc pas au cas où l'employé devient actionnaire. Cette clause du ch. V avait d'ailleurs été expliquée à l'employé qui, après l'avoir contestée, l'avait acceptée. Il n'ignorait donc pas que sa prétention à un préavis de trois mois était infondée. Les critiques du recourant sont de nature essentiellement appellatoire. Il n'invoque pas, ou du moins pas suffisamment, que l'interprétation subjective effectuée par l'autorité précédente serait arbitraire et ne remplit dès lors pas les conditions requises de jurisprudence constante. On relèvera par ailleurs que la cour cantonale s'est basée sur le texte du contrat et sur le témoignage de G.________, et non uniquement sur ce témoignage comme l'invoque le recourant. On rappellera également que le ch. V du contrat prévoyait que l'emploi du recourant prendrait automatiquement fin au moment où il deviendrait actionnaire de la joint venture , les termes prévus au chiffre III du contrat étant alors seulement applicables pour les conséquences financières. Les constatations de l'autorité précédente, exemptes d'arbitraire, lient dès lors le Tribunal fédéral (cf. supra consid. 3.1) et il n'est pas nécessaire d'examiner les griefs du recourant relatifs à l'interprétation objective. Le grief est rejeté.</w:t>
      </w:r>
    </w:p>
    <w:p>
      <w:r>
        <w:rPr>
          <w:b/>
        </w:rPr>
        <w:t>E. 4</w:t>
      </w:r>
    </w:p>
    <w:p>
      <w:r>
        <w:t>Dans un dernier grief, le recourant reproche à la cour cantonale d'avoir admis à tort l'existence de justes motifs permettant à l'intimée de résilier immédiatement le contrat, invoquant une violation des art. 337 et 337c CO .</w:t>
      </w:r>
    </w:p>
    <w:p>
      <w:r>
        <w:rPr>
          <w:b/>
        </w:rPr>
        <w:t>E. 4.1.1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Selon la jurisprudence, la résiliation immédiate pour " justes motifs " est une mesure exceptionnelle qui doit être admise de manière restrictive ( ATF 137 III 303 consid. 2.1.1 p. 304). Seul un manquement particulièrement grave peut justifier une telle mesure ( ATF 142 III 579 consid. 4.2 p. 579). Par manquement du travailleur, on entend généralement la violation d'une obligation découlant du contrat de travail, portant sur le devoir de travailler ou le devoir de fidélité, mais d'autres incidents peuvent aussi justifier une telle mesure ( ATF 137 III 303 consid. 2.1.1 p. 304 s.; 130 III 28 consid. 4.1 p. 31; 129 III 380 consid. 2.2 p. 382; 117 II 72 consid. 3 p. 74; arrêt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p. 579; 130 III 213 consid. 3.1 p. 221). À raison de son obligation de fidélité, le travailleur est tenu de sauvegarder les intérêts légitimes de son employeur ( art. 321a al. 1 CO ) et, par conséquent, de s'abstenir de tout ce qui peut lui nuire ( ATF 117 II 560 consid. 3a p. 561). Cette obligation accessoire générale vaut dans une mesure accrue pour les cadres, eu égard au crédit particulier et à la responsabilité que leur confère leur fonction dans l'entreprise de l'employeur (arrêt 4A_32/2008 du 20 mai 2008 consid. 3.1 et les références citées). La résiliation doit intervenir " immédiatement ", soit après un délai de réflexion raisonnable (cf. arrêt 4A_372/2016 du 2 février 2017 consid. 5.1.2 et les références citées). Le juge apprécie librement s'il existe de justes motifs ( art. 337 al. 3 CO ); il applique les règles du droit et de l'équité ( art. 4 CC ). Savoir si le comportement incriminé atteint la gravité nécessaire dépend des circonstances du cas concret ( ATF 142 III 579 consid. 4.2 p. 580 et les arrêts cités). Dans son appréciation, le juge doit notamment tenir compte de la position et de la responsabilité du travailleur, du type et de la durée des rapports contractuels, de la nature et de l'importance des manquements ( ATF 137 III 303 consid. 2.1.1 p. 305; 130 III 28 consid. 4.1 p. 32; 127 III 351 consid. 4a p. 354), ou encore du temps restant jusqu'à l'échéance ordinaire du contrat ( ATF 142 III 579 consid. 4.2 p. 579 s.). À cet égard, l'importance du manquement doit être d'autant plus grande que ce laps de temps est court (arrêts 4A_625/2016 du 9 mars 2017 consid. 3.2; 4C.95/2004 du 28 juin 2004 consid. 2). La position du travailleur, sa fonction et les responsabilités qui lui sont confiées peuvent entraîner un accroissement des exigences quant à sa rigueur et à sa loyauté; le comportement des cadres doit ainsi être apprécié avec une rigueur accrue en raison du crédit particulier et de la responsabilité que leur confère leur fonction dans l'entreprise ( ATF 130 III 28 consid. 4.1 p. 31; 127 III 86 consid. 2c p. 89; arrêt 4A_124/2017 du 31 janvier 2018 consid. 3.1 et les arrêts cités).</w:t>
      </w:r>
    </w:p>
    <w:p>
      <w:r>
        <w:rPr>
          <w:b/>
        </w:rPr>
        <w:t>E. 4.1.2</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 et les arrêts cités, 28 consid. 4.1 p. 32; 129 III 380 consid. 2 p. 382 et les arrêts cités; 127 III 351 consid. 4a p. 354 et les arrêts cités).</w:t>
      </w:r>
    </w:p>
    <w:p>
      <w:r>
        <w:rPr>
          <w:b/>
        </w:rPr>
        <w:t>E. 4.2</w:t>
      </w:r>
    </w:p>
    <w:p>
      <w:r>
        <w:t>En l'espèce, la cour cantonale juge que l'employé a commis une violation particulièrement grave de son devoir de fidélité, ce d'autant qu'il était un cadre supérieur, portant ainsi atteinte aux intérêts de l'employeuse et ne permettant pas raisonnablement d'exiger d'elle la continuation des rapports de travail. En effet, elle lui reproche d'avoir bloqué le processus d'acquisition des actions, acquisition à laquelle il n'entendait pas renoncer, jusqu'à ce que la fin des rapports de travail soit réglée et, de ce fait, de prolonger inutilement les rapports de travail tandis qu'il était libéré de son obligation de travailler depuis plusieurs mois tout en étant rémunéré, ce qui constituait une atteinte aux intérêts de l'employeuse. Elle considère que ses revendications n'étaient pas fondées, son interprétation du ch. V du contrat ne lui permettant pas de se prévaloir du préavis de trois mois à compter du moment où il deviendrait actionnaire. Enfin, l'employé a persisté à violer son devoir de fidélité malgré l'avertissement du 2 août 2017 en refusant, le 4 août 2017, de procéder au paiement du prix tant qu'il n'aurait pas reçu confirmation que toutes les clauses du contrat seraient appliquées.</w:t>
      </w:r>
    </w:p>
    <w:p>
      <w:r>
        <w:rPr>
          <w:b/>
        </w:rPr>
        <w:t>E. 4.3</w:t>
      </w:r>
    </w:p>
    <w:p>
      <w:r>
        <w:t>Le recourant conteste avoir violé son obligation de fidélité; il fait valoir qu'il était " habilité à discuter et négocier les termes du contrat ", dans la mesure où l'intimée voulait imposer une clause de non-concurrence qui n'était pas prévue contractuellement, que l'avertissement de l'intimée n'était pas fondé, que le délai contenu dans cet avertissement était contraignant pour elle et que celle-ci n'a pas respecté la condition de l'immédiateté de la réaction en vue d'une résiliation immédiate du contrat de travail.</w:t>
      </w:r>
    </w:p>
    <w:p>
      <w:r>
        <w:rPr>
          <w:b/>
        </w:rPr>
        <w:t>E. 4.3.1</w:t>
      </w:r>
    </w:p>
    <w:p>
      <w:r>
        <w:t>Il est manifeste qu'après que le recourant a exercé son option d'achat des actions de D.________ Ltd, celui-ci et l'intimée se sont trouvés en désaccord tant sur la clause de non-concurrence invoquée par l'intimée que sur le délai de résiliation applicable selon le recourant. Comme l'a relevé la cour cantonale, tandis que la position du recourant s'agissant de la clause de non-concurrence était légitime, c'est à tort qu'il faisait valoir que la fin de ses rapports de travail était soumise à un délai de trois mois. En effet, comme on l'a vu (cf. supra consid. 3), il ressort de l'interprétation de la volonté subjective des parties que le renvoi prévu au ch. V du contrat se réfère uniquement aux avantages pécuniaires contenus au ch. III et, partant, que le contrat prend fin automatiquement et immédiatement lorsque le travailleur décide d'acquérir des actions selon les modalités du ch. V. C'est dès lors de manière injustifiée que le recourant a invoqué ledit délai de résiliation et refusé, malgré les demandes réitérées de l'intimée, de fournir à celle-ci les documents nécessaires au transfert d'actions que lui-même avait sollicité en exerçant son droit d'option. S'il tenait à faire valoir ses positions en justice, rien ne l'empêchait de procéder au transfert d'actions puis d'ouvrir action contre son ancienne employeuse. Comme l'avait indiqué l'intimée, la question de la fin des rapports de travail et celle du transfert des actions pouvaient, bien qu'elles fussent liées, être traitées séparément, ce que le recourant a du reste admis le 26 juin 2017; la continuation du processus d'acquisition n'impliquait dès lors pas que le recourant dût renoncer à ses droits en lien avec la fin du contrat. Le recourant semble perdre de vue que, durant les discussions sur les deux points litigieux, il continuait à être rémunéré par l'intimée tout en étant libéré de son obligation de travailler. En souhaitant continuer ces discussions, il ne faisait dès lors que prolonger sans raison cette situation qui n'était qu'à son avantage. Dès lors, c'est bel et bien à tort que le recourant a bloqué le processus d'acquisition jusqu'à ce que la fin des rapports de travail soit réglée. Contrairement à ce qu'allègue le recourant, c'est donc à bon droit que la cour cantonale a retenu l'existence de justes motifs permettant à l'intimée de résilier le contrat avec effet immédiat. Les éléments supplémentaires invoqués par le recourant, pour autant qu'ils aient été valablement produits en procédure, n'y changent rien.</w:t>
      </w:r>
    </w:p>
    <w:p>
      <w:r>
        <w:rPr>
          <w:b/>
        </w:rPr>
        <w:t>E. 4.3.2</w:t>
      </w:r>
    </w:p>
    <w:p>
      <w:r>
        <w:t>Les griefs du recourant relatifs à l'avertissement donné le 2 août 2017 par l'intimée n'emportent pas non plus la conviction. D'une part, dans la mesure où le recourant persistait à ne pas vouloir se conformer aux exigences nécessaires au transfert des actions qu'il avait lui-même demandé et, ainsi, à violer son obligation de fidélité vis-à-vis de l'intimée, celle-ci était légitimée à lui signifier ledit avertissement. Le fait que les deux parties aient fait par erreur référence aux actions d'une autre société, E.________ Ltd, n'est pas déterminant, contrairement à ce qu'avance le recourant; cette inexactitude était patente et le recourant l'avait ou pouvait d'emblée la rectifier et il ne ressort pas des faits constatés par la cour cantonale que les documents devant être fournis par le recourant auraient été différents. D'autre part, ledit avertissement portait non seulement sur la fourniture des documents requis, mais encore sur toutes les obligations de l'intimée relatives au transfert des actions, ce qui comprenait le paiement du prix (cf. supra consid. 2.3). Or, il ressort clairement de la réponse du recourant à cet avertissement qu'il ne s'acquitterait du prix de vente que lorsqu'il aurait confirmation que toutes les clauses du contrat seraient appliquées dans le sens qu'il leur donnait; il était dès lors vain pour l'intimée d'attendre que le délai qu'elle lui avait fixé arrivât à échéance. Ce n'est ainsi qu'après que l'intimée a mis fin au contrat avec effet immédiat que le recourant lui a fourni les documents qu'elle avait requis.</w:t>
      </w:r>
    </w:p>
    <w:p>
      <w:r>
        <w:rPr>
          <w:b/>
        </w:rPr>
        <w:t>E. 4.3.3</w:t>
      </w:r>
    </w:p>
    <w:p>
      <w:r>
        <w:t>C'est également à tort que le recourant invoque la tardiveté de la résiliation immédiate notifiée par l'intimée. Ladite résiliation immédiate faisait en effet suite au nouveau refus du recourant, par courrier du vendredi 4 août 2017, de se conformer au processus d'acquisition des actions. L'intimée a pris connaissance de ce courrier le jour ouvrable suivant, soit le lundi 7 août 2017. En communiquant la résiliation du contrat le 10 août 2017, elle a dès lors satisfait à un délai de réflexion raisonnable (cf. supra consid. 4.1.1). Les griefs sont rejetés.</w:t>
      </w:r>
    </w:p>
    <w:p>
      <w:r>
        <w:rPr>
          <w:b/>
        </w:rPr>
        <w:t>E. 5</w:t>
      </w:r>
    </w:p>
    <w:p>
      <w:r>
        <w:t>Au vu de ce qui précède, le recours doit être rejeté, dans la mesure où il est recevable. Les frais judiciaires et les dépens seront mis à la charge du recourant, qui succombe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