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392/2019 vom 16. Januar 2020</w:t>
      </w:r>
    </w:p>
    <w:p>
      <w:r>
        <w:t>Bundesgericht, 2020-01-16, DE</w:t>
      </w:r>
    </w:p>
    <w:p>
      <w:r>
        <w:rPr>
          <w:b/>
        </w:rPr>
        <w:t xml:space="preserve">Quelle: </w:t>
      </w:r>
      <w:r>
        <w:t>https://mcp.opencaselaw.ch/entscheid/bger_4A_392_2019</w:t>
      </w:r>
    </w:p>
    <w:p>
      <w:r>
        <w:t>FR: TF 4A 392/2019 du 16 janvier 2020</w:t>
      </w:r>
    </w:p>
    <w:p>
      <w:r>
        <w:t>IT: TF 4A 392/2019 del 16 gennaio 2020</w:t>
      </w:r>
    </w:p>
    <w:p>
      <w:pPr>
        <w:pStyle w:val="Heading2"/>
      </w:pPr>
      <w:r>
        <w:t>Regeste</w:t>
      </w:r>
    </w:p>
    <w:p>
      <w:r>
        <w:t>Anleihensobligation | Vertragsrecht</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Die Beschwerde betrifft eine Zivilsache ( Art. 72 BGG ) und richtet sich gegen den Endentscheid ( Art. 90 BGG ) eines oberen kantonalen Gerichts, das als Fachgericht für handelsrechtliche Streitigkeiten als einzige kantonale Instanz entschieden hat ( Art. 75 Abs. 2 lit. b BGG ). Die Beschwerdeführerin ist mit ihren Anträgen unterlegen ( Art. 76 BGG ), ein Streitwert ist nicht verlangt ( Art. 74 Abs. 2 lit. b BGG ) und die Beschwerdefrist ist eingehalten ( Art. 100 Abs. 1 BGG ).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S. 18 f., 167 E. 2.1; je mit Hinweisen). Stützt sich der angefochtene Entscheid auf mehrere selbständige Begründungen, so muss sich die Beschwerde mit jeder einzelnen auseinandersetzen, sonst wird darauf nicht eingetreten ( BGE 142 III 364 E. 2.4 S. 368 mit Hinweisen; vgl. auch BGE 143 IV 40 E. 3.4 S. 44).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Mit der Beschwerde in Zivilsachen kann die Verletzung von Bundesrecht (einschliesslich Bundesverfassungsrecht) gerügt werden ( Art. 95 lit. a BGG ; BGE 134 III 379 E. 1.2). Nicht zu den in Art. 95 BGG vorgesehenen Rügegründen gehört hingegen bei vermögensrechtlichen Streitigkeiten die Verletzung von Bestimmungen des massgebenden ausländischen Rechts (vgl. Art. 96 lit. b BGG e contrario ), dessen Anwendung und Auslegung vom Bundesgericht einzig unter dem Blickwinkel eines Verstosses gegen Bundesrecht, insbesondere das verfassungsrechtliche Willkürverbot ( Art. 9 BV ), beurteilt werden kann ( BGE 133 III 446 E. 3.1).</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1.4</w:t>
      </w:r>
    </w:p>
    <w:p>
      <w:r>
        <w:t>Die Beschwerdeführerin verkennt diese Grundsätze in verschiedener Hinsicht. So stellt sie insbesondere im Zusammenhang mit dem von ihr bestrittenen Treuhandverhältnis die Hintergründe der fraglichen Transaktionen aus ihrer Sicht dar, ohne dabei durchgehend den gesetzlichen Anforderungen an hinreichende Sachverhaltsrügen zu genügen. Dabei vermengt sie mitunter in unzulässiger Weise Tat- und Rechtsfragen und lässt darüber hinaus unbeachtet, dass sich nach dem angefochtenen Entscheid verschiedene Fragen - so insbesondere betreffend den Konkurs und die Treuhandschaft - nach liechtensteinischem Recht beurteilten. Sie stellt jedoch weder die Anwendbarkeit des ausländischen Rechts in Frage noch rügt sie hinreichend, dieses sei von der Vorinstanz verfassungswidrig angewendet worden. Die entsprechenden Vorbringen haben daher unbeachtet zu bleiben.</w:t>
      </w:r>
    </w:p>
    <w:p>
      <w:r>
        <w:rPr>
          <w:b/>
        </w:rPr>
        <w:t>E. 2</w:t>
      </w:r>
    </w:p>
    <w:p>
      <w:r>
        <w:t>Die Ausführungen in der Beschwerdeschrift zur Aktivlegitimation der Beschwerdegegnerin richten sich ausschliesslich gegen die vorinstanzliche Annahme eines Treuhandverhältnisses zwischen der C.________ AG i.K. und dem Anlagefonds X.________, Segment Y.________ bzw. dessen Anlegern. Sie wirft der Vorinstanz diesbezüglicheine offensichtlich unrichtige bzw. willkürliche Feststellung des Sachverhalts und eine Verletzung der Dispositions- und Verhandlungsmaxime ( Art. 55 und Art. 58 ZPO ) vor. Gestützt darauf behauptet die Beschwerdeführerin, die C.________ AG i.K. sei nicht Treuhänderin des Fonds X.________, Segment Y.________ gewesen, vielmehr habe sie beim Erwerb der Anleihensobligationen im Oktober 2010im eigenen Namen und im eigenen Interesse gehandelt. Die Beschwerdeführerin verkennt mit diesen Vorbringen, dass die Vorinstanz gestützt auf das liechtensteinische Recht erwog, es sei im konkreten Fall unerheblich, ob die C.________ AG die Anteilsrechte im eigenen Namen und auf eigene Rechnung oder treuhänderisch erwarb. Selbst für den Fall, dass auf den nach Ansicht der Beschwerdeführerin zutreffenden Sachverhalt abzustellen wäre, ging die Vorinstanz demnach davon aus, dass E.________, der Masseverwalter der C.________ AG i.K., über die erforderliche Vertretungsbefugnis verfügte, um die fraglichen Anleihen am 31. März 2014 an die Beschwerdegegnerin zu veräussern. Dazu lassen sich der Beschwerdeschrift jedoch keine hinreichend begründeten Rügen der verfassungswidrigen Anwendung ausländischen Rechts entnehmen. Die Beschwerdeführerin führt einzig aus, die Schlussfolgerung der Vorinstanz "erstaune", seien die Umstände des Erwerbs der Anleihensobligationen in den Rechtsschriften der Parteien doch das zentrale Thema gewesen. In anderem Zusammenhang behauptet sie ohne weitere Begründung, bei fehlendem Treuhandverhältnis hätten die Anleihensobligationen zur Konkursmasse der C.________ AG gehört und wären somit der Verfügungsmacht der Konkursverwaltung entzogen gewesen. Die Vertretungs- und Verfügungsbefugnis des liechtensteinischen Masseverwalters im Konkurs beschlägt jedoch die Anwendung ausländischen Rechts, die im bundesgerichtlichen Beschwerdeverfahren nicht frei überprüft werden kann (vgl. Art. 96 lit. b BGG ). Mangels hinreichender Rügen gegen die vorinstanzliche Hauptbegründung hätte der angefochtene Entscheid demnach selbst unter der Annahme des von der Beschwerdeführerin vorgebrachten Sachverhalts Bestand. Ihre Vorbringen zur Aktivlegitimation stossen daher ins Leere.</w:t>
      </w:r>
    </w:p>
    <w:p>
      <w:r>
        <w:rPr>
          <w:b/>
        </w:rPr>
        <w:t>E. 3</w:t>
      </w:r>
    </w:p>
    <w:p>
      <w:r>
        <w:t>Auch mit ihren Vorbringen zu der von der Vorinstanz verneinten Verwirkung der Rückzahlungsforderung vermag die Beschwerdeführerin vor Bundesgericht nicht durchzudringen. Die Vorinstanz hat die Anleihensbedingungen gestützt auf die in Ziffer 11 vorgesehene Regelung des anwendbaren Rechts nach schweizerischem Recht ausgelegt. Entgegen der Ansicht der Beschwerdeführerin hat die Vorinstanz - unter Hinweis auf die bundesgerichtliche Rechtsprechung ( BGE 132 III 285 E. 2) - durchaus berücksichtigt, dass Art. 129 OR die Möglichkeit der Vertragsparteien unberührt lässt, eine Forderung durch Vereinbarung von einer Resolutivbedingung abhängig zu machen, sofern mit der Bedingung nicht verlangt wird, die Forderung binnen bestimmter Frist irgendwie gerichtlich einzuklagen. Insbesondere vermag die in der Beschwerde vertretene Auslegung von Ziffer 4 lit. c der Anleihensbedingungen, die sie dem vorinstanzlichen Auslegungsergebnis entgegenhält, nicht zu überzeugen. Ziffer 4 lit. c lautet wie folgt: "Sollte der Obligationär die Original-Urkunden am Rückzahlungstag nicht vorweisen können, wird die entsprechende Rückzahlung seitens der Emittentin nicht ausgeführt. Die Obligation verjährt zwei Jahre nach dem Rückzahlungstag." Bereits ausgehend vom Wortlaut kann der Beschwerdeführerin nicht gefolgt werden, wenn sie sich vor Bundesgericht auf den Standpunkt stellt, mit der Vertragsbestimmung werde "vom Obligationär verlangt, innert einer bestimmten Frist (zwei Jahre) eine konkrete Handlung vorzunehmen (Rückgabe der Anleihensobligationen im Original), ansonsten die Verpflichtung der Emittentin erlischt". Vielmehr wird mit dem ersten Satz von Ziffer 4 lit. c lediglich verlangt, dass sich der Obligationär im Hinblick auf die Rückzahlung durch Originalurkunden ausweist. Der Hinweis im angefochtenen Entscheid auf die gesetzlichen Voraussetzungen bei Namenpapieren nach Art. 975 OR (Ausweis über das Gläubigerrecht) ist entgegen der Ansicht der Beschwerdeführerin nicht zu beanstanden, sondern erscheint naheliegend. Jedenfalls wird mit dem ersten Satz von Ziffer 4 lit. c in Übereinstimmung mit der gesetzlichen Regelung klargestellt, dass die Rückzahlung einzig gegen Vorweisung der Urkunde erfolgt. Dass die Zahlungsverpflichtung der Emittentin nach der vertraglichen Regelung erlöschen soll, wenn die Anleihensobligationen nicht innert zwei Jahren im Original zurückgegeben werden, ergibt sich aus objektiver Sicht nicht aus der fraglichen Bestimmung. Diese spricht zudem ausdrücklich von der "Verjährung" der Obligation innert zwei Jahren nach dem Rückzahlungstag. Haben die Vertragsparteien in Ziffer 4 lit. c keine Resolutivbedingung vereinbart, erübrigt es sich darauf einzugehen, ob eine solche Regelung überhaupt zulässig gewesen wäre. Das vorinstanzliche Auslegungsergebnis, wonach die Parteien mit Ziffer 4 lit. c der Anleihensbedingungen keine Resolutivbedingung (Vorweisung/Übergabe der Obligation innert Frist mit Folge des Erlöschens des Rechts auf Rückzahlung im Unterlassungsfall), sondern eine - nach Art. 129 OR unzulässige - Verkürzung der Verjährungsfrist vereinbarten, hält vor Bundesrecht stand. Entsprechend hat die Vorinstanz den Einwand der Verwirkung zu Recht verworfen und hinsichtlich der Verjährung folgerichtig auf die zehnjährige Frist nach Art. 127 OR abgestellt. Die Gutheissung der Klage ist demnach auch unter diesem Gesichtspunkt nicht zu beanstanden.</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