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4A_391/2009 vom 12. Februar 2010</w:t>
      </w:r>
    </w:p>
    <w:p>
      <w:r>
        <w:t>Bundesgericht, 2010-02-12, DE</w:t>
      </w:r>
    </w:p>
    <w:p>
      <w:r>
        <w:rPr>
          <w:b/>
        </w:rPr>
        <w:t xml:space="preserve">Quelle: </w:t>
      </w:r>
      <w:r>
        <w:t>https://mcp.opencaselaw.ch/entscheid/bger_4A_391_2009</w:t>
      </w:r>
    </w:p>
    <w:p>
      <w:r>
        <w:t>FR: TF 4A_391/2009 du 12 février 2010</w:t>
      </w:r>
    </w:p>
    <w:p>
      <w:r>
        <w:t>IT: TF 4A_391/2009 del 12 febbraio 2010</w:t>
      </w:r>
    </w:p>
    <w:p>
      <w:pPr>
        <w:pStyle w:val="Heading2"/>
      </w:pPr>
      <w:r>
        <w:t>Erwägungen</w:t>
      </w:r>
    </w:p>
    <w:p>
      <w:r>
        <w:rPr>
          <w:b/>
        </w:rPr>
        <w:t>E. 1.1</w:t>
      </w:r>
    </w:p>
    <w:p>
      <w:r>
        <w:t>Weist das Bundesgericht eine Streitsache an die Vorinstanz zurück, hat die mit der Neubeurteilung befasste kantonale Instanz die rechtliche Beurteilung, mit der die Rückweisung begründet wurde, ihrer Entscheidung zugrunde zu legen. Diese Beurteilung bindet auch das Bundesgericht.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Der Umfang der Bindung ergibt sich aus der Begründung der Rückweisung, die sowohl den Rahmen für die neuen Tatsachenfeststellungen als jenen für die neue rechtliche Begründung vorgibt. Die vom Bundesgericht bereits entschiedenen Fragen sind jedenfalls nicht mehr zu überprüfen ( BGE 135 III 334 E. 2 S. 335 f. mit Hinweisen).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kantonale Akten ist unzulässig ( BGE 131 III 384 E. 2.3 S. 387 f.; 126 III 198 E. 1d S. 201; 116 II 92 E. 2 S. 93 f.).</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1.4</w:t>
      </w:r>
    </w:p>
    <w:p>
      <w:r>
        <w:t>Diese Grundsätze verkennen die Beschwerdeführer in verschiedener Hinsicht.</w:t>
      </w:r>
    </w:p>
    <w:p>
      <w:r>
        <w:rPr>
          <w:b/>
        </w:rPr>
        <w:t>E. 1.4.1</w:t>
      </w:r>
    </w:p>
    <w:p>
      <w:r>
        <w:t>Sie tragen zunächst der Bindungswirkung des Rückweisungsentscheids nicht Rechnung, wenn sie sich im Beschwerdeverfahren einmal mehr darauf berufen, die Handlungen der Beschwerdeführer hätten nicht zu einem haftpflichtrechtlich relevanten Schaden bei der X.________ CH geführt und hierzu unter anderem vorbringen, die X.________ DK habe schon vor Eröffnung des Konkurses auf die Rückerstattung des Darlehens verzichtet. Das Bundesgericht hat in seinem zweiten Rückweisungsentscheid (4A_188/2008 vom 9. September 2008 E. 4.4 a.E.) erwogen, dass der X.________ CH bzw. der Gläubigergesamtheit ein haftpflichtrechtlich relevanter Schaden entstand, soweit die Verlustabdeckungen zu Gunsten der X.________ I durch Darlehen der Muttergesellschaft finanziert wurden und sich damit die Verbindlichkeiten der X.________ CH erhöhten, gleichzeitig aber die gewährten Mittel unwiederbringlich abflossen. Den Einwand der Beschwerdeführer, die X.________ DK habe auf ihre Forderung gegenüber der X.________ CH rechtswirksam verzichtet, verwarf das Bundesgericht (E. 4.5). Es verblieb der Vorinstanz demnach nur noch zu prüfen, ob das Anwachsen der Verschuldung der X.________ CH seit dem 3. September 1991 auf pflichtwidriges Verhalten der Beschwerdeführer zurückzuführen sei (E. 4.6). Soweit die Beschwerdeführer in der Beschwerde einen haftpflichtrechtlich relevanten Schaden bestreiten, haben ihre Vorbringen unbeachtet zu bleiben.</w:t>
      </w:r>
    </w:p>
    <w:p>
      <w:r>
        <w:t>Im Übrigen ist der Vorwurf der Beschwerdeführer nicht stichhaltig, die Vorinstanz habe sich hinsichtlich der Beurteilung der Pflichtverletzung in Widerspruch zu eigenen früheren Urteilen gesetzt, zumal das Bundesgericht die Streitsache zweimal mit der Massgabe an die Vorinstanz zurückgewiesen hat, die Frage einer allfälligen Sorgfaltspflichtverletzung im Zusammenhang mit den Verlustabdeckungen seit dem 3. September 1991 erneut zu beurteilen.</w:t>
      </w:r>
    </w:p>
    <w:p>
      <w:r>
        <w:rPr>
          <w:b/>
        </w:rPr>
        <w:t>E. 1.4.2</w:t>
      </w:r>
    </w:p>
    <w:p>
      <w:r>
        <w:t>Die Beschwerde vermag den gesetzlichen Begründungsanforderungen ( Art. 42 Abs. 2 sowie Art. 106 Abs. 2 BGG ) teilweise nicht zu genügen. So kritisieren die Beschwerdeführer die Vorinstanz verschiedentlich in pauschaler Weise, ohne jedoch in Auseinandersetzung mit den Erwägungen des angefochtenen Entscheids darzulegen, inwiefern dieses im Ergebnis Bundesrecht verletzt. Sie werfen der Vorinstanz sodann wiederholt vor, sie habe gewisse Folgerungen nicht bzw. nicht genügend begründet. Soweit sie damit eine Verletzung der Begründungspflicht bzw. des rechtlichen Gehörs ( Art. 29 Abs. 2 BV ) geltend machen wollen, verfehlen sie die gesetzlichen Anforderungen an die Begründung einer Verfassungsrüge ( Art. 106 Abs. 2 BGG ).</w:t>
      </w:r>
    </w:p>
    <w:p>
      <w:r>
        <w:t>Wenn sie hinsichtlich der von der Vorinstanz abgelehnten Einvernahme von E.________ rügen, die Vorinstanz habe den Anwendungsbereich von Art. 98 Ziff. 2 der Zivilprozessordnung des Kantons Graubünden vom 1. Dezember 1985 (ZPO/GR; Bündner Rechtsbuch 320.000) missverstanden, verkennen die Beschwerdeführer die Prüfungsbefugnis des Bundesgerichts. Eine einfache Verletzung kantonaler Verfahrensbestimmungen kann vor Bundesgericht nicht gerügt werden (vgl. Art. 95 BGG ); dass die Vorinstanz die genannte Bestimmung verfassungswidrig angewendet hätte, legen die Beschwerdeführer nicht dar.</w:t>
      </w:r>
    </w:p>
    <w:p>
      <w:r>
        <w:rPr>
          <w:b/>
        </w:rPr>
        <w:t>E. 1.4.3</w:t>
      </w:r>
    </w:p>
    <w:p>
      <w:r>
        <w:t>Sie stellen ihren rechtlichen Vorbringen schliesslich eine mehrseitige eigene Sachverhaltsdarstellung voran, in der sie den Ablauf der Rekapitalisierungen der X.________ I sowie der Konkursanmeldung der X.________ CH unter Hinweis auf ihre Vorbringen im kantonalen Verfahren aus eigener Sicht schildern. Soweit sie darin von den tatsächlichen Feststellungen der Vorinstanz abweichen oder diese erweitern, sind ihre Ausführungen nicht zu berücksichtigen (vgl. Art. 105 Abs. 1 BGG ).</w:t>
      </w:r>
    </w:p>
    <w:p>
      <w:r>
        <w:rPr>
          <w:b/>
        </w:rPr>
        <w:t>E. 2.1</w:t>
      </w:r>
    </w:p>
    <w:p>
      <w:r>
        <w:t>Die Vorinstanz hielt gestützt auf das gerichtliche Gutachten von Dr. F.________ fest, dass die X.________ CH am 3. September 1991 bereits überschuldet war und dass infolge der auf den 30. Juni 1992 erfolgten Betriebseinstellung kein Unternehmensgewinn mehr generiert werden konnte. Nach der Genehmigung der Jahresrechnung 1990/91 der X.________ I am 25. November 1991 habe nicht mehr ernsthaft mit einer Gesundung dieser Gesellschaft gerechnet werden können. Die Vorinstanz erwog, dass die Beschwerdeführer die Überschuldung der Gesellschaft vergrösserten, für deren finanzielles Wohlergehen sie aufgrund ihrer Treuepflicht verantwortlich gewesen seien, wenn sie in dieser Situation zu Lasten der X.________ CH weitere Verluste der X.________ I abdeckten, obwohl ihnen hätte bewusst sein müssen, dass keine Aussicht mehr bestand, aus eigener Kraft Gewinne zu erzielen und die neuen Schulden dadurch zu kompensieren. Sie hätten von da an, spätestens aber mit der Einstellung der operativen Tätigkeit, nur noch die Interessen der Muttergesellschaft X.________ DK wahrgenommen und ihre Pflichten gegenüber der X.________ CH vernachlässigt. Indem sie es zuliessen, dass ohne genügende Absicherung seitens der X.________ DK die Überschuldung durch immer neue Verlustübernahmen stetig zunahm, hätten sie offensichtlich sorgfaltswidrig gehandelt.</w:t>
      </w:r>
    </w:p>
    <w:p>
      <w:r>
        <w:t>Den Einwand der Beschwerdeführer, die Verlustabdeckungen seien geschäftspolitisch gerechtfertigt gewesen, erachtete die Vorinstanz als unzutreffend.</w:t>
      </w:r>
    </w:p>
    <w:p>
      <w:r>
        <w:rPr>
          <w:b/>
        </w:rPr>
        <w:t>E. 2.2</w:t>
      </w:r>
    </w:p>
    <w:p>
      <w:r>
        <w:t>Die Beschwerdeführer vermögen mit ihren Vorbringen, mit denen sie eine Sorgfaltspflichtverletzung bestreiten, keine Bundesrechtsverletzung darzutun.</w:t>
      </w:r>
    </w:p>
    <w:p>
      <w:r>
        <w:t>Ihr Einwand, sie hätten aufgrund der bereits vor dem 3. September 1991 getätigten enormen Ausgaben für die X.________ I "praktisch keine Wahl mehr" gehabt, als die weiteren Rekapitalisierungen ebenfalls zu tragen, verfängt nicht. Der blosse Umstand, dass eine Gesellschaft bereits bedeutende Ausgaben getätigt hat, kann nicht als Rechtfertigung für eine Vergrösserung der Verschuldung durch weitere Mittelabflüsse dienen. Davon, dass allein aufgrund der allgemeinen Lebenserfahrung davon ausgegangen werden könne, dass man auch bei der X.________ CH "das Geld nicht einfach freiwillig zum Fenster hinauswarf, sondern ... tatsächlich an einen langfristigen Erfolg der X.________ I glaubte", kann zudem keine Rede sein. Abgesehen davon, dass sich ein solcher Schluss nicht aus der allgemeinen Lebenserfahrung ergibt, ist entgegen der Ansicht der Beschwerdeführer nicht entscheidend, woran die Organe der X.________ CH glaubten, sondern ob die von ihnen zu verantwortenden Mittelabflüsse angesichts der nach den konkreten Umständen objektiv gerechtfertigten Erwartungen hinsichtlich der Gesellschaft X.________ I getätigt werden durften (vgl. Urteile 4C.358/2005 vom 12. Februar 2007 E. 5.2.1, nicht publ. in BGE 133 III 116 ff.; 4C.201/2001 vom 19. Juni 2002 E. 2.1.1; Peter Böckli, Schweizer Aktienrecht, 4. Aufl. 2009, § 13 N. 575; Forstmoser/Meyer-Hayoz/Nobel, Schweizerisches Aktienrecht, 1996, § 28 N. 21 f.; Bernard Corboz, in: Commentaire romand, Droit des obligations II, 2008, N. 19 zu Art. 754 OR ).</w:t>
      </w:r>
    </w:p>
    <w:p>
      <w:r>
        <w:t>Mit der von ihnen angeführten Motivation für das Engagement in Italien, nämlich dass die X.________ I mit Beschlägen aus deutscher Produktion gehandelt und den italienischen Markt habe abdecken sollen und die X.________ CH aus Gründen der "Absicherung nach unten" die Form einer Tochtergesellschaft gewählt habe, zeigen die Beschwerdeführer nicht auf, inwiefern die Vorinstanz mit ihrer Erwägung, wonach mit einem Überleben der Tochtergesellschaft nicht mehr ernsthaft habe gerechnet werden dürfen, Bundesrecht verletzt haben soll. Sie führen zwar ins Feld, die X.________ CH hätte von dem zu erwartenden Profit aus dem Geschäft der X.________ I zu 100 % profitiert. Aufgrund welcher Umstände eine solche Gewinnerwartung entgegen dem angefochtenen Entscheid gerechtfertigt gewesen sein soll, legen die Beschwerdeführer jedoch nicht dar und ist auch nicht ersichtlich.</w:t>
      </w:r>
    </w:p>
    <w:p>
      <w:r>
        <w:t>Die Beschwerdeführer zeigen mit ihrem Vorwurf, die Vorinstanz habe unbesehen auf die Feststellungen des Experten abgestellt, keine Verletzung von Bundesrecht auf. Sie kritisieren zwar die Feststellungen des Experten als unzutreffend und "zweifelhaft" bzw. werfen der Vorinstanz vor, den Sachverhalt nicht richtig ermittelt zu haben, legen jedoch nicht dar, inwiefern die vorinstanzlichen Beweiswürdigung willkürlich ( Art. 9 BV ) sein soll (vgl. Art. 97 Abs. 1 sowie Art. 105 Abs. 2 BGG ).</w:t>
      </w:r>
    </w:p>
    <w:p>
      <w:r>
        <w:t>Die Vorinstanz hat zudem entgegen der in der Beschwerde geäusserten Ansicht die Beurteilung der Frage, ob die Verlustübernahmen geschäftspolitisch gerechtfertigt waren, nicht davon abhängig gemacht, ob das Überleben der X.________ I "gesichert" war. Sie hat gestützt auf die Erkenntnisse der Expertise vielmehr erwogen, dass aufgrund der Geschäftsergebnisse der X.________ I spätestens ab dem 25. November 1991 nicht mehr ernsthaft mit einer Gesundung habe gerechnet werden dürfen, und die Verlustübernahmen nicht mehr gerechtfertigt waren, nachdem man habe erkennen müssen, dass die X.________ I kaum überlebensfähig sein würde. Entsprechend hat die Vorinstanz den Einwand der Beschwerdeführer, die Verlustabdeckungen seien geschäftspolitisch motiviert und daher gerechtfertigt gewesen, zurückgewiesen. Im Übrigen lässt der von der Vorinstanz angeblich nicht berücksichtigte Auszug aus dem Bericht der Wirtschaftsberatung Z.________ nicht erkennen, dass die Weiterführung der X.________ I noch im Jahr 1993 als aussichtsreich dargestellt worden wäre. Weder die erwähnten Währungsverluste, der Hinweis auf die wirtschaftliche Situation sowie die Zahlungsverzögerungen von Kunden noch die zitierten zusätzlichen Verkaufsbemühungen bzw. leicht höheren ("slightly increased") Verkäufe lassen einen solchen Schluss zu. Zudem vermag der Umstand, dass die Wirtschaftsberater die X.________ CH in ihrem Begleitbrief zum Jahresbericht 1993 "ohne wenn und aber" aufgefordert hätten, den Jahresverlust nach Massgabe des italienischen Rechts zu tragen, einen unwiederbringlichen Vermögensabfluss und damit eine Vergrösserung der Verschuldung der X.________ CH entgegen der Ansicht der Beschwerdeführer nicht zu rechtfertigen.</w:t>
      </w:r>
    </w:p>
    <w:p>
      <w:r>
        <w:t>Abgesehen davon behaupten die Beschwerdeführer lediglich aus dem Blickwinkel der X.________ I vom angefochtenen Entscheid abweichende Erfolgsaussichten dieser Gesellschaft. Sie haben jedoch nicht dargelegt, in welchem Verhältnis die Verlustübernahmen der X.________ CH zu den von ihnen behaupteten Gewinnaussichten der Tochtergesellschaft standen und inwieweit dadurch die überwiesenen Mittel bei der X.________ CH nicht unwiederbringlich abflossen, sondern eine Verbesserung der Bilanz der X.________ CH zu erwarten war.</w:t>
      </w:r>
    </w:p>
    <w:p>
      <w:r>
        <w:rPr>
          <w:b/>
        </w:rPr>
        <w:t>E. 2.3</w:t>
      </w:r>
    </w:p>
    <w:p>
      <w:r>
        <w:t>Der Vorinstanz ist keine Bundesrechtsverletzung vorzuwerfen, wenn sie angesichts der nach dem 3. September 1991 getätigten Verlustabdeckungen zu Gunsten der kaum überlebensfähigen X.________ I, die eine Vermögenseinbusse der damals bereits überschuldeten X.________ CH bewirkten, eine Sorgfaltspflichtverletzung (vgl. Art. 717 Abs. 1 OR ) und damit eine Schadenersatzpflicht der Beschwerdeführer nach Art. 754 Abs. 1 OR bejaht hat. Da sich die durch aktives Handeln der Beschwerdeführer verursachte Vermögenseinbusse auf rund Fr. 1.8 Mio. beläuft und damit den geltend gemachten Schaden bei weitem übersteigt, erübrigt es sich darauf einzugehen, ob ihnen überdies ein Unterlassen der Vorkehren nach Art. 725 OR vorzuwerfen wäre und dies einen über die Rekapitalisierungsbeiträge hinausgehenden Fortsetzungsschaden bewirkte.</w:t>
      </w:r>
    </w:p>
    <w:p>
      <w:r>
        <w:rPr>
          <w:b/>
        </w:rPr>
        <w:t>E. 3</w:t>
      </w:r>
    </w:p>
    <w:p>
      <w:r>
        <w:t>Die Beschwerde erweist sich als unbegründet und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