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4A_391/2008 vom 25. November 2008</w:t>
      </w:r>
    </w:p>
    <w:p>
      <w:r>
        <w:t>Bundesgericht, 2008-11-25, FR</w:t>
      </w:r>
    </w:p>
    <w:p>
      <w:r>
        <w:rPr>
          <w:b/>
        </w:rPr>
        <w:t xml:space="preserve">Quelle: </w:t>
      </w:r>
      <w:r>
        <w:t>https://mcp.opencaselaw.ch/entscheid/bger_4A_391_2008</w:t>
      </w:r>
    </w:p>
    <w:p>
      <w:r>
        <w:t>FR: TF 4A_391/2008 du 25 novembre 2008</w:t>
      </w:r>
    </w:p>
    <w:p>
      <w:r>
        <w:t>IT: TF 4A_391/2008 del 25 novembre 2008</w:t>
      </w:r>
    </w:p>
    <w:p>
      <w:pPr>
        <w:pStyle w:val="Heading2"/>
      </w:pPr>
      <w:r>
        <w:t>Erwägungen</w:t>
      </w:r>
    </w:p>
    <w:p>
      <w:r>
        <w:rPr>
          <w:b/>
        </w:rPr>
        <w:t>E. 1</w:t>
      </w:r>
    </w:p>
    <w:p>
      <w:r>
        <w:t>Le Tribunal fédéral examine d'office et librement sa compétence, respectivement la recevabilité des recours qui lui sont soumis ( art. 29 al. 1 LTF ; ATF 134 III 115 consid. 1, 235 consid. 1, 379 consid. 1).</w:t>
      </w:r>
    </w:p>
    <w:p>
      <w:r>
        <w:rPr>
          <w:b/>
        </w:rPr>
        <w:t>E. 1.1</w:t>
      </w:r>
    </w:p>
    <w:p>
      <w:r>
        <w:t>L'arrêt attaqué a pour objet la fixation de l'indemnité due au recourant en sa qualité de conseil d'office de X.________ dans la procédure en libération de dette introduite par ce dernier devant la Cour civile du Tribunal cantonal vaudois. Depuis l'entrée en vigueur le 1er juin 2002 de la loi fédérale sur la libre circulation des avocats (LLCA; RS 935.61), les avocats sont tenus en vertu du droit fédéral d'accepter les défenses d'office et les mandats d'assistance judiciaire dans le canton au registre duquel ils sont inscrits ( art. 12 let . g LLCA); la réglementation relative à ces mandats, y compris la question de leur rémunération, reste toutefois du ressort des cantons ( ATF 132 I 201 consid. 7.2). L'avocat d'office n'exerce pas un mandat privé, mais accomplit une tâche étatique régie par le droit public cantonal; lors de sa désignation, il s'établit, entre l'avocat et l'État, un rapport juridique spécial en vertu duquel l'avocat a contre l'État une prétention de droit public à être rétribué dans le cadre des prescriptions cantonales applicables ( ATF 132 I 201 consid. 7.1; 122 I 1 consid. 3a; 117 Ia 22 consid. 4a et les arrêts cités).</w:t>
      </w:r>
    </w:p>
    <w:p>
      <w:r>
        <w:t>Si la décision relative à l'indemnisation de l'avocat d'office relève ainsi du droit public cantonal, il faut considérer que, lorsqu'elle porte comme en l'espèce sur la rémunération due pour l'activité déployée comme conseil d'office dans un procès civil, elle constitue une décision prise dans une matière connexe au droit civil, susceptible d'être attaquée par la voie du recours en matière civile conformément à l' art. 72 al. 2 let. b LTF (arrêt 5D_145/2007 du 5 février 2008, consid. 1.1; cf. ATF 133 IV 335 consid. 2 pour le recours en matière pénale).</w:t>
      </w:r>
    </w:p>
    <w:p>
      <w:r>
        <w:rPr>
          <w:b/>
        </w:rPr>
        <w:t>E. 1.2</w:t>
      </w:r>
    </w:p>
    <w:p>
      <w:r>
        <w:t>La valeur litigieuse est supérieure au seuil de 30'000 fr. fixé par l' art. 74 al. 1 let. b LTF . Dirigé contre une décision finale ( art. 90 LTF ) rendue par un tribunal supérieur statuant sur recours en dernière instance cantonale ( art. 75 al. 1 et 2 LTF ), le recours est donc en principe recevable, puisqu'il a été déposé en temps utile ( art. 100 al. 1 LTF ), dans les formes prévues par la loi ( art. 42 LTF ), par une partie qui a pris part à la procédure devant l'autorité précédente et qui a un intérêt juridique à l'annulation ou à la modification de la décision attaquée ( art. 76 al. 1 LTF ).</w:t>
      </w:r>
    </w:p>
    <w:p>
      <w:r>
        <w:rPr>
          <w:b/>
        </w:rPr>
        <w:t>E. 2.1</w:t>
      </w:r>
    </w:p>
    <w:p>
      <w:r>
        <w:t>Dans un premier moyen, le recourant soutient que l'allocation d'une indemnité d'honoraires de 6'120 fr. hors taxe, représentant moins d'un dixième du montant qu'il aurait pu facturer dans le cadre d'un mandat de choix (68'950 fr., soit 197 heures à 350 fr.), serait clairement contraire à la liberté économique garantie par l' art. 27 Cst. et à la jurisprudence du Tribunal fédéral en découlant, dans la mesure où elle ne couvre même pas le cinquième de ses frais généraux.</w:t>
      </w:r>
    </w:p>
    <w:p>
      <w:r>
        <w:rPr>
          <w:b/>
        </w:rPr>
        <w:t>E. 2.2</w:t>
      </w:r>
    </w:p>
    <w:p>
      <w:r>
        <w:t>Si la liberté économique garantie par l' art. 27 Cst. est concernée dans la mesure où l'avocat est tenu d'accepter des mandats d'office, l'activité effective du conseil d'office - et donc aussi la question de sa rémunération - ne relève en principe pas du champ d'application de cette norme constitutionnelle, s'agissant d'une tâche étatique confiée à l'avocat considéré ( ATF 132 I 201 consid. 7.1 et 8.5). Toutefois, la liberté économique interdit que les avocats, en tant que groupe professionnel, soient tenus de fournir des prestations pour l'État sans obtenir un revenu en contrepartie, ce qui serait le cas si leur rémunération ne couvrait que leurs frais ( ATF 132 I 201 consid. 8. 5).</w:t>
      </w:r>
    </w:p>
    <w:p>
      <w:r>
        <w:rPr>
          <w:b/>
        </w:rPr>
        <w:t>E. 2.3</w:t>
      </w:r>
    </w:p>
    <w:p>
      <w:r>
        <w:t>En l'espèce, le principe d'une rémunération du recourant à un tarif horaire de 180 fr. a été reconnu (cf. lettre B.b supra). Ce tarif horaire, qui permet à l'avocat d'office de réaliser un bénéfice après couverture de ses frais généraux, est admissible au regard de la jurisprudence du Tribunal fédéral ( ATF 132 I 201 consid. 8.7), et il n'est pas contesté par le recourant. Seule l'ampleur de l'activité déployée par celui-ci dans le cadre de sa mission d'office est litigieuse, le recourant prétendant, sur la base d'un tarif horaire de 180 fr., à une indemnisation pour cent nonante-sept heures de travail, alors que son temps d'activité a été ramené par les juges cantonaux à trente-quatre heures, dont dix concernent la recherche d'une transaction (cf. lettre B.b supra). Ce grief, qui ne relève pas du champ d'application de l' art. 27 Cst. mais de celui de l' art. 9 Cst. , sera examiné ci-après.</w:t>
      </w:r>
    </w:p>
    <w:p>
      <w:r>
        <w:rPr>
          <w:b/>
        </w:rPr>
        <w:t>E. 3.1</w:t>
      </w:r>
    </w:p>
    <w:p>
      <w:r>
        <w:t>Le recourant reproche à l'autorité cantonale d'être tombée dans l'arbitraire et d'avoir gravement méconnu les principes fixés par la jurisprudence du Tribunal fédéral relative à l'indemnisation de l'avocat d'office ( ATF 122 I 1 consid. 3a; 117 Ia 22 consid. 4c) en fixant à trente-quatre le nombre d'heures pour lesquelles il pouvait prétendre à être indemnisé, alors qu'il en a consacré cent nonante-sept à l'affaire. Il expose que le litige ayant opposé son client à la banque créancière a trouvé sa source dans l'octroi de prêts hypothécaires garantis par deux immeubles qui étaient la propriété du débiteur et que, la valeur litigieuse étant de 8'300'000 fr., l'avocat commis d'office se devait d'appréhender dans leur globalité la problématique des relations entre les parties. À cette fin, il fallait parvenir à trouver un accord de principe avec la banque en vue de la vente des immeubles à un tiers, en définir le prix, rechercher et trouver un acquéreur, aplanir les difficultés dues à la présence de locataires dans les locaux et à un éboulement de terrain, élaborer une transaction judiciaire dans ce cadre et la finaliser. Par cette activité, il s'agissait de permettre au client d'office de limiter au minimum les pertes qui auraient été provoquées par une issue judiciaire de la procédure, ce qui était en lien direct avec la mission conférée à l'avocat d'office. Le recourant fait ainsi valoir que les très nombreuses heures de travail consacrées à une transaction ont permis à la banque d'être remboursée et au client d'être libéré des obligations découlant des prêts hypothécaires. Enfin, cette solution a mis rapidement un terme à la procédure judiciaire, approche qui est conforme au principe de l'économie de procédure.</w:t>
      </w:r>
    </w:p>
    <w:p>
      <w:r>
        <w:rPr>
          <w:b/>
        </w:rPr>
        <w:t>E. 3.2</w:t>
      </w:r>
    </w:p>
    <w:p>
      <w:r>
        <w:t>Selon la jurisprudence, l'indemnité à laquelle l'avocat d'office a droit, dans le cadre des prescriptions cantonales applicables ( ATF 132 I 201 consid. 7.1; 122 I 1 consid. 3a; 117 Ia 22 consid. 4a), s'apparente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 ATF 122 I 1 consid. 3a; 117 Ia 22 consid. 3a; 109 Ia 107 consid. 3b). L'indemnité ne couvre pas seulement les démarches judiciaires à proprement parler. En matière civile tout particulièrement, la jurisprudence admet que le conseil d'office est amené à accomplir dans le cadre du procès de nombreuses démarches extrajudiciaires, notamment en vue de la recherche d'une transaction; les frais encourus à cette fin doivent être remboursés, pour peu qu'ils soient justifiés par la défense des intérêts du client ( ATF 117 Ia 22 consid. 4c).</w:t>
      </w:r>
    </w:p>
    <w:p>
      <w:r>
        <w:rPr>
          <w:b/>
        </w:rPr>
        <w:t>E. 3.3</w:t>
      </w:r>
    </w:p>
    <w:p>
      <w:r>
        <w:t>L'autorité dispose d'un large pouvoir d'appréciation dans la fixation de l'indemnité due à l'avocat d'office; le Tribunal fédéral n'intervient que si cette indemnité a été fixée de manière arbitraire ( ATF 122 I 1 consid. 3a; 118 Ia 133 consid. 2b; 109 Ia 107 consid. 3d et les arrêts cités). 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132 I 13 consid. 5.1; 132 III 209 consid. 2.1; 131 I 57 consid. 2, 217 consid. 2.1). Dans le domaine de l'indemnisation de l'avocat d'office, le Tribunal fédéral a ainsi posé que l'appréciation erronée d'un poste de l'état de frais ou la prise en compte d'un argument déraisonnable ne suffit pas en soi pour admettre l'arbitraire, l'annulation de la décision cantonale ne se justifiant que si le montant global alloué au conseil d'office apparaît comme ayant été fixé de manière arbitraire ( ATF 109 Ia 107 consid. 3d).</w:t>
      </w:r>
    </w:p>
    <w:p>
      <w:r>
        <w:rPr>
          <w:b/>
        </w:rPr>
        <w:t>E. 3.4.1</w:t>
      </w:r>
    </w:p>
    <w:p>
      <w:r>
        <w:t>En l'espèce, parmi les critères à prendre en considération en vue de la rémunération d'un avocat d'office, tels que rappelés ci-dessus (cf. consid. 3.2 supra), l'autorité cantonale s'est bornée à prendre en compte le temps qui aurait été consacré à l'affaire et qu'elle a fixé, suivant l'appréciation qui en avait été faite par le premier juge, à trente-quatre heures, rémunérées au tarif horaire de 180 fr. Ce faisant, elle n'apparaît pas avoir tenu compte de la valeur litigieuse très élevée, du résultat obtenu et de la responsabilité assumée par l'avocat commis d'office. En omettant ces critères, la Présidente du Tribunal cantonal ne semble pas avoir pris en considération de manière adéquate le tarif applicable dans le canton de Vaud en matière de dépens, lequel autorisait une taxation à hauteur de 25'120 fr. compte tenu de la valeur litigieuse très élevée (cf. lettre B.b supra), mais sans que soit encore prise en considération l'activité extrajudiciaire déployée par l'avocat, notamment en vue d'une solution transactionnelle.</w:t>
      </w:r>
    </w:p>
    <w:p>
      <w:r>
        <w:rPr>
          <w:b/>
        </w:rPr>
        <w:t>E. 3.4.2</w:t>
      </w:r>
    </w:p>
    <w:p>
      <w:r>
        <w:t>Non seulement la décision entreprise apparaît ainsi déjà insoutenable en tant qu'elle omet ces critères, mais le résultat auquel elle aboutit heurte d'emblée le sens de la justice. En effet, le montant réclamé par 35'460 fr., pour cent nonante-sept heures de travail à 180 fr. hors taxe, n'apparaît pas prima facie totalement disproportionné par rapport à l'importance de l'affaire et à sa valeur litigieuse. Il n'est pas inutile à cet égard de relever que, pour la seule procédure de recours devant le Tribunal fédéral, une valeur litigieuse de 5'000'000 fr. pourrait justifier le versement d'une indemnité de 50'000 fr. à titre de dépens, réduite d'un tiers au maximum s'il s'agit d'honoraires d'un avocat d'office (art. 4 et 10 du Règlement sur les dépens alloués à la partie adverse et sur l'indemnité pour la représentation d'office dans les causes portées devant le Tribunal fédéral; RS 173.110.210.3).</w:t>
      </w:r>
    </w:p>
    <w:p>
      <w:r>
        <w:rPr>
          <w:b/>
        </w:rPr>
        <w:t>E. 3.4.3</w:t>
      </w:r>
    </w:p>
    <w:p>
      <w:r>
        <w:t>De surcroît, l'arrêt attaqué ne renferme aucune indication au sujet de la liste d'opérations établie par le recourant. Les autorités de taxation semblent avoir substitué leur propre appréciation au décompte présenté par le recourant, sans dire en quoi cet état de frais laisserait planer certains doutes ou serait exagéré et sans inviter le recourant à le compléter ou à s'expliquer (cf. ATF 109 la 107 consid. 3g).</w:t>
      </w:r>
    </w:p>
    <w:p>
      <w:r>
        <w:rPr>
          <w:b/>
        </w:rPr>
        <w:t>E. 3.4.4</w:t>
      </w:r>
    </w:p>
    <w:p>
      <w:r>
        <w:t>Enfin, compte tenu de la nature de l'affaire, on ne saurait reprocher au recourant d'avoir recherché une solution transactionnelle par une vente de gré à gré à un tiers des deux immeubles, ce qui évitait les aléas d'une réalisation forcée et était manifestement dans l'intérêt du débiteur. Or en présence d'une action en libération de dette destinée à éviter la réalisation de gages immobiliers grevant deux immeubles, une transaction valable supposait nécessairement une solution économique portant sur le sort même des biens-fonds considérés, leur propriétaire ne disposant pas de fonds suffisants lui permettant de désintéresser la banque créancière. Il fallait donc trouver, avec l'accord de la banque, un acquéreur offrant des garanties suffisantes en vue d'une reprise des dettes hypothécaires ou un prix de vente permettant le désintéressement de la banque. Si l'on considère en outre que la situation était encore compliquée par la présence de locataires et par les conséquences d'un éboulement, il apparaît insoutenable de retenir que l'activité déployée par le recourant en vue d'une solution transactionnelle n'était justifiée qu'à concurrence de dix heures de travail.</w:t>
      </w:r>
    </w:p>
    <w:p>
      <w:r>
        <w:rPr>
          <w:b/>
        </w:rPr>
        <w:t>E. 3.5</w:t>
      </w:r>
    </w:p>
    <w:p>
      <w:r>
        <w:t>Il résulte de ce qui précède que l'autorité cantonale est tombée dans l'arbitraire en fixant à 6'120 fr. hors TVA l'indemnité due au recourant à titre d'honoraires d'avocat d'office, sur la seule base d'une appréciation insoutenable du nombre d'heures de travail qu'elle considérait justifiées par la défense des intérêts du client, sans tenir compte de la valeur litigieuse très élevée, du résultat obtenu ni des opérations nécessaires à l'aboutissement d'une solution transactionnelle conforme aux intérêts du client.</w:t>
      </w:r>
    </w:p>
    <w:p>
      <w:r>
        <w:rPr>
          <w:b/>
        </w:rPr>
        <w:t>E. 4</w:t>
      </w:r>
    </w:p>
    <w:p>
      <w:r>
        <w:t>En définitive, le recours, fondé, doit être admis. Dès lors que la fixation du montant de l'indemnité due à l'avocat d'office relève exclusivement du droit cantonal, le Tribunal fédéral juge opportun de renvoyer la cause à l'autorité précédente plutôt que de statuer lui-même sur le fond ( art. 107 al. 2 LTF ). L'arrêt entrepris sera par conséquent annulé et la cause renvoyée à l'autorité cantonale pour nouvelle décision.</w:t>
      </w:r>
    </w:p>
    <w:p>
      <w:r>
        <w:t>Le canton de Vaud, qui succombe, est dispensé du paiement des frais judiciaires ( art. 66 al. 4 LTF ); en revanche, il versera une indemnité de dépens au recourant qui obtient gain de cause avec l'assistance d'un avocat ( art. 68 al. 1 et 2 LTF ). Le recourant, qui a fourni une avance de frais de 2'000 fr. ( art. 62 al. 1 LTF ), a droit à la restitution de ce montant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