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4A_38/2010 vom 1. April 2010</w:t>
      </w:r>
    </w:p>
    <w:p>
      <w:r>
        <w:t>Bundesgericht, 2010-04-01, FR</w:t>
      </w:r>
    </w:p>
    <w:p>
      <w:r>
        <w:rPr>
          <w:b/>
        </w:rPr>
        <w:t xml:space="preserve">Quelle: </w:t>
      </w:r>
      <w:r>
        <w:t>https://mcp.opencaselaw.ch/entscheid/bger_4A_38_2010</w:t>
      </w:r>
    </w:p>
    <w:p>
      <w:r>
        <w:t>FR: TF 4A_38/2010 du 1 avril 2010</w:t>
      </w:r>
    </w:p>
    <w:p>
      <w:r>
        <w:t>IT: TF 4A_38/2010 del 1 aprile 2010</w:t>
      </w:r>
    </w:p>
    <w:p>
      <w:pPr>
        <w:pStyle w:val="Heading2"/>
      </w:pPr>
      <w:r>
        <w:t>Erwägungen</w:t>
      </w:r>
    </w:p>
    <w:p>
      <w:r>
        <w:rPr>
          <w:b/>
        </w:rPr>
        <w:t>E. 1.1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conférée par les art. 271 ss CO , il convient, sauf exceptions, de prendre en considération la période de trois ans prévue à l' art. 271a al. 1 let . e CO ( ATF 119 II 147 consid. 1 p. 149; 111 II 384 consid. 1 p. 386; plus récemment, arrêt 4A_130/2008 du 26 mai 2008 consid. 1.1, in SJ 2008 I p. 461).</w:t>
      </w:r>
    </w:p>
    <w:p>
      <w:r>
        <w:t>En l'espèce, le loyer annuel en cause s'élevant déjà à plus de 16'000 fr., la valeur litigieuse requise est manifestement atteinte.</w:t>
      </w:r>
    </w:p>
    <w:p>
      <w:r>
        <w:rPr>
          <w:b/>
        </w:rPr>
        <w:t>E. 1.2</w:t>
      </w:r>
    </w:p>
    <w:p>
      <w:r>
        <w:t>Exercé par les consorts qui ont succombé en instance cantonale ( art. 76 al. 1 LTF ), et dirigé contre une décision finale ( art. 90 LTF ) rendue en matière civile ( art. 72 al. 1 LTF ) par une autorité cantonale de dernière instance ( art. 75 al. 1 LTF ), le recours est recevable, puisqu'il a été déposé dans le délai ( art. 100 al. 1 LTF en liaison avec l' art. 46 al. 1 let . c LTF) et la forme ( art. 42 LTF ) prévus par la loi.</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2.1</w:t>
      </w:r>
    </w:p>
    <w:p>
      <w:r>
        <w:t>Invoquant un arrêt du Tribunal fédéral du 10 mars 2009 (cause 4A_487/2008), les recourants soutiennent tout d'abord que les résiliations extraordinaires du 13 décembre 2007 sont valables, dès lors que les intimées ont sous-loué partie de l'appartement à la société W.________ Sàrl en violation de l'art. 22 des Dispositions paritaires romandes et règles et usages locatifs du Canton de Vaud (RULV). Selon cette disposition dérogeant, pour le canton de Vaud, à l' art. 262 CO , le locataire qui veut sous-louer tout ou partie de la chose louée doit préalablement demander le consentement écrit du bailleur.</w:t>
      </w:r>
    </w:p>
    <w:p>
      <w:r>
        <w:rPr>
          <w:b/>
        </w:rPr>
        <w:t>E. 2.2</w:t>
      </w:r>
    </w:p>
    <w:p>
      <w:r>
        <w:t>La question de savoir si la domiciliation de la société W.________ Sàrl dans l'appartement loué par les intimées est une sous-location n'a pas été tranchée par la Chambre des recours, au motif qu'une éventuelle violation de l'art. 22 RULV n'aurait de toute manière pas justifié un congé extraordinaire. L'arrêt précité du 10 mars 2009 n'est d'aucun secours aux bailleurs pour contrer cette conclusion. En effet, dans cet arrêt rendu en séance publique, la cour de céans a jugé qu'une résiliation ordinaire intervenant à la suite d'une sous-location faite en violation de l'art. 22 RULV n'était pas abusive au sens de l' art. 271 CO (consid. 2.7 et 2.8). Elle ne s'est pas prononcée sur la validité d'une résiliation extraordinaire et, par conséquent, rien ne peut être déduit de cette jurisprudence en faveur de la thèse des bailleurs.</w:t>
      </w:r>
    </w:p>
    <w:p>
      <w:r>
        <w:rPr>
          <w:b/>
        </w:rPr>
        <w:t>E. 3</w:t>
      </w:r>
    </w:p>
    <w:p>
      <w:r>
        <w:t>Les recourants font valoir ensuite qu'une résiliation extraordinaire était également fondée parce que les intimées ont persisté à violer les stipulations concernant l'affectation des locaux malgré les avertissements. Ils invoquent à cet égard l'arrêt publié aux ATF 132 III 109 .</w:t>
      </w:r>
    </w:p>
    <w:p>
      <w:r>
        <w:rPr>
          <w:b/>
        </w:rPr>
        <w:t>E. 3.1</w:t>
      </w:r>
    </w:p>
    <w:p>
      <w:r>
        <w:t>L' art. 257f al. 3 CO accorde au bailleur la faculté de résilier le contrat de manière anticipée lorsque le maintien du bail est devenu insupportable pour lui ou les personnes habitant l'immeuble parce que le locataire, nonobstant une protestation écrite, persiste à enfreindre son devoir de diligence ou à manquer d'égards envers les voisins.</w:t>
      </w:r>
    </w:p>
    <w:p>
      <w:r>
        <w:t>La jurisprudence à laquelle les recourants se réfèrent ( ATF 132 III 109 ) a précisé la portée de l' art. 257f al. 3 CO lorsqu'est en jeu le non-respect des stipulations contractuelles concernant l'utilisation de la chose. Après avoir reconsidéré sa position, le Tribunal fédéral a ainsi jugé qu'en cas de violation persistante des stipulations concernant l'affectation des locaux loués, le bailleur pouvait résilier le contrat sur la base de l' art. 257f al. 3 CO , même si l'activité du locataire n'engendrait pas une situation insupportable selon cette disposition (consid. 5 p. 113 ss). Dans le cas jugé, les locaux loués pour des bureaux avaient été utilisés pour l'exploitation d'un salon de massages érotiques.</w:t>
      </w:r>
    </w:p>
    <w:p>
      <w:r>
        <w:rPr>
          <w:b/>
        </w:rPr>
        <w:t>E. 3.2</w:t>
      </w:r>
    </w:p>
    <w:p>
      <w:r>
        <w:t>Les circonstances du cas particulier ne sont en rien comparables à celles qui ont donné lieu à la jurisprudence précitée. L'exécution de travaux de traduction dans une partie de l'appartement dans lequel les locataires vivent ne constitue pas une affectation contraire aux fins d'habitation. Désireux de résilier le contrat de manière anticipée, les bailleurs n'étaient ainsi pas dispensés d'établir que la situation était grave au point d'être insupportable pour eux ou le voisinage. Or, à ce propos, l'autorité cantonale a retenu qu'aucun va-et-vient gênant de clients n'avait été constaté et que le fait d'effectuer à domicile des traductions à titre indépendant n'était pas apte à troubler quiconque. Les recourants ne démontrent pas que ces constatations sont arbitraires. Il ne saurait dès lors être question d'une situation insupportable justifiant un congé extraordinaire.</w:t>
      </w:r>
    </w:p>
    <w:p>
      <w:r>
        <w:t>La conclusion est la même si l'on se place sous l'angle d'une éventuelle sous-location non autorisée. En effet, dans ce cas-là, un congé anticipé est fondé lorsqu'un examen rétrospectif des faits permet de conclure que le bailleur aurait disposé d'un motif valable au sens de l' art. 262 al. 2 CO pour s'opposer à la sous-location ( ATF 134 III 300 consid. 3.1 p. 304). Le seul motif entrant en considération en l'espèce est celui des inconvénients majeurs pour le bailleur ( art. 262 al. 1 let . c CO). Or, un tel motif n'est manifestement pas réalisé dans le cas particulier.</w:t>
      </w:r>
    </w:p>
    <w:p>
      <w:r>
        <w:rPr>
          <w:b/>
        </w:rPr>
        <w:t>E. 4.1</w:t>
      </w:r>
    </w:p>
    <w:p>
      <w:r>
        <w:t>Les recourants soulignent également que, si une résiliation extraordinaire n'est pas possible, les locataires peuvent impunément violer l'art. 22 RULV et les règles sur la sous-location, puisque l'autorité cantonale a admis qu'une résiliation ordinaire était exclue pendant les trois ans qui ont suivi l'arrangement du 4 septembre 2006.</w:t>
      </w:r>
    </w:p>
    <w:p>
      <w:r>
        <w:rPr>
          <w:b/>
        </w:rPr>
        <w:t>E. 4.2</w:t>
      </w:r>
    </w:p>
    <w:p>
      <w:r>
        <w:t>Un congé est annulable s'il intervient dans les trois ans à compter du moment où bailleur et locataire se sont entendus hors procédure sur une prétention relevant du bail ( art. 271a al. 1 let . e et al. 2 CO). Cette règle n'est pas absolue; en particulier, elle ne s'applique pas lorsque le congé est donné pour violation grave par le locataire de son devoir de diligence ou pour de graves manques d'égards envers les voisins ( art. 271a al. 3 let . c CO). En revanche, en cas de violations moins importantes, le locataire peut effectivement tirer profit du fait qu'une résiliation ordinaire n'est pas possible et que le bailleur doit attendre l'échéance de la période de protection de trois ans. Il s'agit là de la conséquence inévitable de la protection accordée au locataire durant trois ans contre des congés qui ne sont pas, en eux-mêmes, abusifs. En particulier, il ne se justifie pas de réduire le degré de gravité exigé pour la violation des obligations contractuelles. En effet, cela reviendrait à priver le locataire, dans certains cas, du délai ordinaire de résiliation dont il bénéficierait s'il n'était pas spécialement protégé contre les congés, ce qui serait contraire au but de la loi.</w:t>
      </w:r>
    </w:p>
    <w:p>
      <w:r>
        <w:rPr>
          <w:b/>
        </w:rPr>
        <w:t>E. 5.1</w:t>
      </w:r>
    </w:p>
    <w:p>
      <w:r>
        <w:t>Enfin, les recourants sont d'avis que, s'il n'est pas valable, le congé extraordinaire du 13 décembre 2007 doit être converti en un congé ordinaire pour la prochaine échéance contractuelle du 30 avril 2008.</w:t>
      </w:r>
    </w:p>
    <w:p>
      <w:r>
        <w:rPr>
          <w:b/>
        </w:rPr>
        <w:t>E. 5.2</w:t>
      </w:r>
    </w:p>
    <w:p>
      <w:r>
        <w:t>Cet argument ne peut être que rejeté. En effet, dans un arrêt récent, le Tribunal fédéral a précisément exclu la conversion d'une résiliation extraordinaire inefficace en un congé ordinaire valable ( ATF 135 III 441 consid. 3.3 p. 444 s.).</w:t>
      </w:r>
    </w:p>
    <w:p>
      <w:r>
        <w:rPr>
          <w:b/>
        </w:rPr>
        <w:t>E. 6.1</w:t>
      </w:r>
    </w:p>
    <w:p>
      <w:r>
        <w:t>En ce qui concerne les résiliations ordinaires du 16 janvier 2007, les recourants soutiennent qu'elles ne sont pas annulables. Ils contestent l'application en l'espèce de la règle empêchant le bailleur de résilier le contrat pendant la période de protection de trois ans ( art. 271a al. 2 CO en liaison avec l' art. 271a al. 1 let . e CO), car, à leur sens, l'arrangement du 4 septembre 2006 concernait un cas bagatelle; ils relèvent à cet égard que le supplément annuel de 675 fr. pour le chauffage et l'eau chaude représente seulement 4,17% du loyer annuel.</w:t>
      </w:r>
    </w:p>
    <w:p>
      <w:r>
        <w:rPr>
          <w:b/>
        </w:rPr>
        <w:t>E. 6.2</w:t>
      </w:r>
    </w:p>
    <w:p>
      <w:r>
        <w:t>Il est vrai que les litiges portant sur des cas bagatelles - par exemple sur 6 fr.50 de loyer mensuel ou 57 fr.40 de frais de réparation - ne tombent pas sous le coup de l' art. 271a al. 2 CO (cf. ATF 130 III 563 consid. 2.1 p. 566; arrêt 4C.266/1993 du 5 janvier 1994 consid. 4a et 4b/cc, in MRA 1995 39). Un montant de 675 fr. de frais supplémentaires de chauffage et d'eau chaude pour une année ne correspond toutefois pas à un cas bagatelle. En valeur absolue, une telle somme n'est pas insignifiante pour un locataire ordinaire. En outre, elle représente plus de la moitié du total annuel des acomptes de chauffage et d'eau chaude dus par les intimées, lesquels s'élèvent à 100 fr. par mois. Même en se fondant sur la comparaison préconisée par les recourants, la proportion de 4,17% du loyer représente un montant supérieur à la réduction ou à l'augmentation de loyer entraînée par une modification du taux hypothécaire de 0,25% (cf. art. 13 al. 1 OBLF , RS 221.213.11). Or, un litige à ce sujet ne constituerait manifestement pas un cas de peu d'importance qui serait exclu du champ d'application de l' art. 271a al. 1 let . e et al. 2 CO. La cour cantonale n'a dès lors pas violé le droit fédéral en refusant de considérer la présente espèce comme un cas bagatelle.</w:t>
      </w:r>
    </w:p>
    <w:p>
      <w:r>
        <w:rPr>
          <w:b/>
        </w:rPr>
        <w:t>E. 7</w:t>
      </w:r>
    </w:p>
    <w:p>
      <w:r>
        <w:t>Sur le vu de ce qui précède, c'est à bon droit que les résiliations extraordinaires du 13 décembre 2007 ont été déclarées nulles et que les congés ordinaires du 16 janvier 2007 ont été annulés. Le recours sera ainsi rejeté.</w:t>
      </w:r>
    </w:p>
    <w:p>
      <w:r>
        <w:rPr>
          <w:b/>
        </w:rPr>
        <w:t>E. 8</w:t>
      </w:r>
    </w:p>
    <w:p>
      <w:r>
        <w:t>Les recourants, qui succombent, prendront à leur charge les frais de la procédure ( art. 66 al. 1 LTF ) et verseront des dépens aux intimées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