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4A_389/2008 vom 31. Oktober 2008</w:t>
      </w:r>
    </w:p>
    <w:p>
      <w:r>
        <w:t>Bundesgericht, 2008-10-31, FR</w:t>
      </w:r>
    </w:p>
    <w:p>
      <w:r>
        <w:rPr>
          <w:b/>
        </w:rPr>
        <w:t xml:space="preserve">Quelle: </w:t>
      </w:r>
      <w:r>
        <w:t>https://mcp.opencaselaw.ch/entscheid/bger_4A_389_2008</w:t>
      </w:r>
    </w:p>
    <w:p>
      <w:r>
        <w:t>FR: TF 4A_389/2008 du 31 octobre 2008</w:t>
      </w:r>
    </w:p>
    <w:p>
      <w:r>
        <w:t>IT: TF 4A_389/2008 del 31 ottobre 2008</w:t>
      </w:r>
    </w:p>
    <w:p>
      <w:pPr>
        <w:pStyle w:val="Heading2"/>
      </w:pPr>
      <w:r>
        <w:t>Erwägungen</w:t>
      </w:r>
    </w:p>
    <w:p>
      <w:r>
        <w:rPr>
          <w:b/>
        </w:rPr>
        <w:t>E. 1</w:t>
      </w:r>
    </w:p>
    <w:p>
      <w:r>
        <w:t>Selon la jurisprudence relative à l' art. 42 al. 1 LTF , le mémoire introductif du recours au Tribunal fédéral doit comporter des conclusions portant sur le sort de la cause, et la partie recourante n'est en principe pas recevable à réclamer seulement l'annulation de la décision attaquée. Ce procédé-ci, adopté dans la présente affaire,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133 III 489 consid. 3; voir aussi ATF 95 II 433 consid. 1 p. 436; 132 III 186 consid. 1.2 p. 188).</w:t>
      </w:r>
    </w:p>
    <w:p>
      <w:r>
        <w:t>D'après les art. 90, 92 et 93 al. 1 LTF , le recours au Tribunal fédéral est recevable contre les décisions finales, soit celles qui mettent fin à la procédure (art. 90); il est recevable contre des décisions préjudicielles ou incidentes concernant la compétence et les demandes de récusation (art. 92), ainsi que contre d'autres décisions préjudicielles ou incidentes, notifiées séparément de la décision finale, à condition que ces décisions puissent causer un préjudice irréparable (art. 93 al. 1 let. a) ou, autre hypothèse, que l'admission du recours puisse conduire immédiatement à une décision finale permettant d'éviter une procédure probatoire longue et coûteuse (art. 93 al. 1 let. b).</w:t>
      </w:r>
    </w:p>
    <w:p>
      <w:r>
        <w:t>En l'occurrence, les recourants contestent une décision incidente en matière de mesures provisionnelles; ils se disent menacés d'un préjudice irréparable dans l'hypothèse où C.________ parviendrait à se faire inscrire au registre du commerce en qualité d'administrateur unique de Z.________ SA. Ils affirment que, par suite de mesures déjà prises par C.________ au nom de la société, consistant notamment dans la résiliation de crédits bancaires, celle-ci se trouve en manque de liquidités, au point que, le 14 juillet 2008, ils ont dû en donner avis au juge et présenter une demande d'ajournement de faillite; A.________ se dit caution solidaire de la société, et, à ce titre, personnellement obligé envers les créanciers.</w:t>
      </w:r>
    </w:p>
    <w:p>
      <w:r>
        <w:rPr>
          <w:b/>
        </w:rPr>
        <w:t>E. 2</w:t>
      </w:r>
    </w:p>
    <w:p>
      <w:r>
        <w:t>Aux termes de l' art. 98 LTF , le recours dirigé contre une décision portant sur des mesures provisionnelles ne peut être formé que pour violation des droits constitutionnels. Les recourants tiennent la décision du Président de la Cour de cassation civile pour arbitraire et ils se réfèrent à l' art. 9 Cst.</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 ATF 134 I 140 consid. 5.4 p. 148; 133 I 149 consid. 3.1 p. 153; 132 I 13 consid. 5.1 p. 17).</w:t>
      </w:r>
    </w:p>
    <w:p>
      <w:r>
        <w:t>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3</w:t>
      </w:r>
    </w:p>
    <w:p>
      <w:r>
        <w:t>Le Président de la Cour de cassation civile a retenu que selon le droit cantonal applicable, l'effet suspensif ne pouvait être conféré au pourvoi en nullité que si ce dernier présentait prima facie des chances raisonnables de succès; il fallait, de plus, que les recourants se trouvent exposés à un dommage personnel ou financier sérieux en cas d'exécution immédiate de la décision du premier juge. Le Président a considéré que les recourants ne rendaient pas vraisemblable leur qualité pour réclamer eux-mêmes des mesures provisionnelles, de sorte que leur pourvoi apparaissait dénué de chances de succès. Il a par ailleurs jugé que les difficultés rencontrées par les filiales de X.________ SA, avec, parmi elles, Z.________ SA, provenaient du conflit des personnes en lutte pour le contrôle du groupe, et, en particulier, des mesures contradictoires adoptées par ces personnes; que l'acquéresse de X.________ SA paraissait n'avoir aucun intérêt à ne pas assurer la continuité de l'exploitation du groupe, ni être hors d'état d'assurer cette continuité; enfin, qu'un refus de l'effet suspensif ne paraissait pas exposer Z.________ SA à un risque plus grave que celui engendré par la gestion désordonnée et contradictoire des personnes en litige.</w:t>
      </w:r>
    </w:p>
    <w:p>
      <w:r>
        <w:t>A l'appui du recours en matière civile, les recourants critiquent sévèrement le jugement du Président; ils reprochent à ce magistrat d'avoir outrepassé son pouvoir d'appréciation en retenant qu'ils n'avaient pas rendu vraisemblable leur qualité pour agir. Ils insistent sur la situation prétendument médiocre de la société et sur le risque que A.________ encourt personnellement par suite de son cautionnement. Ils ne tentent cependant pas de mettre en doute l'appréciation du Président selon laquelle cette situation précaire de Z.________ SA a son origine dans la gestion désordonnée et contradictoire des personnes en litige plutôt que dans l'éventuelle malveillance ou incompétence de C.________. De ce point de vue, la motivation du recours ne répond pas aux exigences précitées relatives à l' art. 106 al. 2 LTF . On observe aussi que selon les allégations des recourants, la situation de la société s'est dégradée alors même que C.________ n'avait pas encore obtenu, du préposé au registre du commerce, son inscription en qualité d'administrateur unique. Le blocage du registre semble donc inapte à prévenir les dommages et inconvénients redoutés par les recourants. Dans ces conditions, le refus de prolonger ce blocage, jusqu'à droit connu sur le pourvoi en nullité, échappe au grief tiré de l' art. 9 Cst. Cela conduit au rejet du recours, dans la mesure où celui-ci est recevable.</w:t>
      </w:r>
    </w:p>
    <w:p>
      <w:r>
        <w:t>Il n'est pas nécessaire de vérifier si le recours est recevable au regard des art. 42 al. 1 et 93 al. 1 let. a LTF, compte tenu que cela n'a de toute manière aucune incidence sur l'issue de la cause.</w:t>
      </w:r>
    </w:p>
    <w:p>
      <w:r>
        <w:rPr>
          <w:b/>
        </w:rPr>
        <w:t>E. 4</w:t>
      </w:r>
    </w:p>
    <w:p>
      <w:r>
        <w:t>A titre de parties qui succombent, les recourants doivent acquitter l'émolument à percevoir par le Tribunal fédéral et les dépens auxquels les intimés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