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386/2007 vom 22. Dezember 2008</w:t>
      </w:r>
    </w:p>
    <w:p>
      <w:r>
        <w:t>Bundesgericht, 2008-12-22, FR</w:t>
      </w:r>
    </w:p>
    <w:p>
      <w:r>
        <w:rPr>
          <w:b/>
        </w:rPr>
        <w:t xml:space="preserve">Quelle: </w:t>
      </w:r>
      <w:r>
        <w:t>https://mcp.opencaselaw.ch/entscheid/bger_4A_386_2007</w:t>
      </w:r>
    </w:p>
    <w:p>
      <w:r>
        <w:t>FR: TF 4A 386/2007 du 22 décembre 2008</w:t>
      </w:r>
    </w:p>
    <w:p>
      <w:r>
        <w:t>IT: TF 4A 386/2007 del 22 dicembre 2008</w:t>
      </w:r>
    </w:p>
    <w:p>
      <w:pPr>
        <w:pStyle w:val="Heading2"/>
      </w:pPr>
      <w:r>
        <w:t>Regeste</w:t>
      </w:r>
    </w:p>
    <w:p>
      <w:r>
        <w:t>procédure civile; droit d'être entendu | Droit des contrats</w:t>
      </w:r>
    </w:p>
    <w:p>
      <w:pPr>
        <w:pStyle w:val="Heading2"/>
      </w:pPr>
      <w:r>
        <w:t>Erwägungen</w:t>
      </w:r>
    </w:p>
    <w:p>
      <w:r>
        <w:rPr>
          <w:b/>
        </w:rPr>
        <w:t>E. 1</w:t>
      </w:r>
    </w:p>
    <w:p>
      <w:r>
        <w:t>En l'espèce, il est douteux que le jugement de la Cour civile soit une décision cantonale de dernière instance aux termes de l' art. 75 al. 1 LTF , car la Chambre des recours est entrée en matière sur tous les griefs que le défendeur élève contre ce prononcé. Cette question peut toutefois rester indécise car elle n'a pas d'influence sur l'issue de la cause. Les deux recours sont dirigés contre des jugements finals ( art. 90 LTF ) et rendus en matière civile ( art. 72 al. 1 LTF ). Ils sont formés par une partie qui a pris part aux instances concernées et qui a succombé dans ses conclusions ( art. 76 al. 1 LTF ). La valeur litigieuse excède le minimum légal de 30'000 fr. (art. 51 al. 1 let. a et 74 al. 1 let. b LTF). Introduits en temps utile ( art. 100 al. 1 LTF ) et dans les formes requises (art. 42 al. 1 à 3 LTF), les recours sont en principe recevables, sous la réserve ci-indiquée. Le recours en matière civile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Il conduit son raisonnement juridique sur la base des faits constatés dans la décision attaquée ( art. 105 al. 1 LTF ). Le recours n'est pas recevable pour violation du droit cantonal, hormis les droits constitutionnels cantonaux ( art. 95 let . c LTF) et certaines dispositions sans pertinence en matière civile ( art. 95 let . d LTF).</w:t>
      </w:r>
    </w:p>
    <w:p>
      <w:r>
        <w:rPr>
          <w:b/>
        </w:rPr>
        <w:t>E. 2</w:t>
      </w:r>
    </w:p>
    <w:p>
      <w:r>
        <w:t>A l'exclusion de toute autre critique, le défendeur reproche à la Cour civile d'avoir violé son droit d'être entendu en refusant d'ordonner une seconde expertise et en refusant d'autoriser l'appel en cause de la Banque B.________. Il se réfère à l' art. 29 al. 2 Cst. Consacré par cette disposition constitutionnelle,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127 I 54 consid. 2b p. 56; 126 I 97 consid. 2b p. 102). Cette garantie inclut le droit à l'administration des preuves valablement offertes selon le droit de procédure applicable,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 La Chambre des recours retient qu'au regard du droit cantonal de procédure, la preuve consistant dans une deuxième expertise n'a pas été valablement offerte: elle n'aurait pu entrer en considération qu'après un complément d'expertise succédant à l'expertise initiale, de sorte que, en omettant de fournir l'avance de frais nécessaire au complément d'expertise, le défendeur s'est privé de la possibilité d'obtenir, éventuellement, la deuxième expertise. Ces considérations, pourtant décisives, ne sont pas valablement critiquées devant le Tribunal fédéral. Il eût incombé au défendeur d'invoquer l' art. 9 Cst. et de mettre en évidence, le cas échéant, une application arbitraire des dispositions cantonales pertinentes. Au regard de l' art. 106 al. 2 LTF , cela eût exigé une argumentation topique ( ATF 133 II 249 consid. 1.4.3 p. 254; 133 II 396 consid. 3.2 p. 400), alors que de simples protestations ou dénégations, telles que celles élevées contre l'arrêt de la Chambre des recours, sont insuffisantes. Le moyen tiré de l' art. 29 al. 2 Cst. devrait donc être rejeté aussi dans l'hypothèse où la deuxième expertise semblerait réellement utile à l'élucidation des faits. Au demeurant, cette hypothèse n'est pas réalisée. Le défendeur souligne que l'auteur de l'expertise initiale n'a pas pu consulter la comptabilité originale de la société, de sorte que son étude est prétendument dépourvue de toute force probante. La Cour civile, dans son jugement déjà, a établi l'inanité de cette critique: le défendeur ne tente pas sérieusement de démontrer que la méthode utilisée par l'expert, fondée sur des documents de substitution, ait pu entraîner des lacunes ou erreurs importantes dans les conclusions de l'expertise, et induire cette autorité en erreur quant à la nature de la prétention comptabilisée par la société faillie. De toute évidence, l'expertise initiale était donc suffisante au regard de l' art. 29 al. 2 Cst. Enfin, le droit d'être entendu n'est d'aucune pertinence en ce qui concerne l'appel en cause de la Banque B.________. La Constitution fédérale ne garantit pas le droit d'attraire une tierce partie dans le procès en cours. Là encore, en tant que le droit cantonal de procédure accorde une possibilité de ce genre, il incombait au défendeur d'invoquer l' art. 9 Cst. et de démontrer, par une argumentation spécifique, que les règles déterminantes ont été appliquées arbitrairement.</w:t>
      </w:r>
    </w:p>
    <w:p>
      <w:r>
        <w:rPr>
          <w:b/>
        </w:rPr>
        <w:t>E. 3</w:t>
      </w:r>
    </w:p>
    <w:p>
      <w:r>
        <w:t>Les recours se révèlent privés de fondement, dans la mesure où les griefs présentés sont recevables. A titre de partie qui succombe, leur auteur doit acquitter les émoluments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