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385/2020 vom 8. September 2020</w:t>
      </w:r>
    </w:p>
    <w:p>
      <w:r>
        <w:t>Bundesgericht, 2020-09-08, FR</w:t>
      </w:r>
    </w:p>
    <w:p>
      <w:r>
        <w:rPr>
          <w:b/>
        </w:rPr>
        <w:t xml:space="preserve">Quelle: </w:t>
      </w:r>
      <w:r>
        <w:t>https://mcp.opencaselaw.ch/entscheid/bger_4A_385_2020</w:t>
      </w:r>
    </w:p>
    <w:p>
      <w:r>
        <w:t>FR: TF 4A 385/2020 du 8 septembre 2020</w:t>
      </w:r>
    </w:p>
    <w:p>
      <w:r>
        <w:t>IT: TF 4A 385/2020 del 8 settembre 2020</w:t>
      </w:r>
    </w:p>
    <w:p>
      <w:pPr>
        <w:pStyle w:val="Heading2"/>
      </w:pPr>
      <w:r>
        <w:t>Regeste</w:t>
      </w:r>
    </w:p>
    <w:p>
      <w:r>
        <w:t>institution d'un contrôle spécial (art. 697a ss CO), | Droit des contrats</w:t>
      </w:r>
    </w:p>
    <w:p>
      <w:pPr>
        <w:pStyle w:val="Heading2"/>
      </w:pPr>
      <w:r>
        <w:t>Erwägungen</w:t>
      </w:r>
    </w:p>
    <w:p>
      <w:r>
        <w:rPr>
          <w:b/>
        </w:rPr>
        <w:t>E. 1.1</w:t>
      </w:r>
    </w:p>
    <w:p>
      <w:r>
        <w:t>La requête tendant à l'institution d'un contrôle spécial donne lieu à une procédure indépendante d'une éventuelle action en responsabilité, de sorte que la décision rendue à son sujet doit être considérée comme une décision finale au sens de l' art. 90 LTF (arrêts 4A_319/2014 consid. 1 non publié in ATF 140 III 610 ; 4A_648/2011 du 4 avril 2012 consid. 1.1 non publié in ATF 138 III 252 ; 4C.334/2006 du 7 février 2007 consid. 2 non publié in ATF 133 III 180 ). Interjeté par la partie qui a succombé dans ses conclusions tendant à l'institution d'un contrôle spécial et qui a donc qualité pour recourir ( art. 76 al. 1 LTF ), dirigé contre un arrêt final ( art. 90 LTF ) rendu en matière civile ( art. 72 al. 1 LTF ) par un tribunal supérieur statuant en qualité d'instance cantonale unique au sens de l' art. 5 al. 1 let . g CPC (cf. art. 75 al. 2 let. a LTF ), le recours en matière civile est, sans égard à la valeur litigieuse ( art. 74 al. 2 let. b LTF ), en principe recevable, puisqu'il a été déposé dans le délai (art. 48 al. 1 et 100 al. 1 LTF) et la forme ( art. 42 LTF ) prévus par la loi.</w:t>
      </w:r>
    </w:p>
    <w:p>
      <w:r>
        <w:rPr>
          <w:b/>
        </w:rPr>
        <w:t>E. 1.2</w:t>
      </w:r>
    </w:p>
    <w:p>
      <w:r>
        <w:t>Dans un recours au Tribunal fédéral, aucun fait nouveau ni preuve nouvelle ne peut être présenté à moins de résulter de la décision de l'autorité précédente ( art. 99 al. 1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(arrêt 4A_18/2010 du 15 mars 2010 consid. 2.1). Il appartient, le cas échéant, au recourant d'exposer les raisons pour lesquelles il considère être en droit de présenter exceptionnellement des faits ou des moyens de preuve nouveaux ( ATF 133 III 393 consid. 3 p. 395). En l'espèce, la recourante fait valoir des faits postérieurs au prononcé de l'arrêt attaqué et relatifs à une éventuelle proposition faite à l'assemblée générale 2020 de l'intimée d'instituer un contrôle spécial. S'agissant de véritables nova, le Tribunal fédéral ne peut pas en tenir compte.</w:t>
      </w:r>
    </w:p>
    <w:p>
      <w:r>
        <w:rPr>
          <w:b/>
        </w:rPr>
        <w:t>E. 2</w:t>
      </w:r>
    </w:p>
    <w:p>
      <w:r>
        <w:t>La requête tendant à l'institution d'un contrôle spécial ayant été rejetée par l'autorité précédente, il convient de déterminer si les conditions nécessaires à l'institution dudit contrôle sont remplies en l'espèce comme le soutient la recourante.</w:t>
      </w:r>
    </w:p>
    <w:p>
      <w:r>
        <w:rPr>
          <w:b/>
        </w:rPr>
        <w:t>E. 2.1</w:t>
      </w:r>
    </w:p>
    <w:p>
      <w:r>
        <w:t>L' art. 697b al. 1 CO dispose que, " [si] l'assemblée générale ne donne pas suite à la proposition [d'instituer un contrôle spécial], des actionnaires représentant 10 % au moins du capital-actions ou des actions d'une valeur nominale de 2 millions de francs peuvent, dans les trois mois, demander au juge la désignation d'un contrôleur spécial ". Avant de s'adresser au juge, l'actionnaire doit proposer à l'assemblée générale l'institution d'un contrôle spécial ( art. 697a al. 1 CO ; ATF 138 III 252 consid. 3.1 p. 256; BIANCA PAULI PEDRAZZINI, in P. Tercier et al. (édit.), Commentaire Romand - Code des Obligations II, 2e éd., 2017, no 1 ad art. 697b CO ).</w:t>
      </w:r>
    </w:p>
    <w:p>
      <w:r>
        <w:rPr>
          <w:b/>
        </w:rPr>
        <w:t>E. 2.2</w:t>
      </w:r>
    </w:p>
    <w:p>
      <w:r>
        <w:t>En l'espèce, comme l'a relevé à juste titre l'autorité précédente, la requérante n'a demandé l'institution d'un contrôle spécial qu'à partir du 31 mai 2019, soit postérieurement à l'assemblée générale de la citée qui a eu lieu le 18 avril 2019 (cf. supra consid. A.d), ce que la recourante admet du reste explicitement dans son recours. Dès lors, l'assemblée générale de la citée ne s'est pas prononcée sur la proposition de la requérante d'instituer un contrôle spécial. Partant, les conditions de l' art. 697b CO ne sont manifestement pas remplies. Les griefs que la recourante fait valoir s'agissant de la convocation de ladite assemblée générale ne sont ici pas pertinents. Ils doivent faire l'objet d'une procédure tendant à l'annulation ou la nullité des décisions de cette assemblée générale (cf. art. 706b CO ; DIETER DUBS/ROLAND TRUFFER, in H. Honsell et al. [édit.], Basler Kommentar - Obligationenrecht II, 5e éd., 2016, no 18 ad art. 706b CO et les références), procédure que la recourante allègue avoir entamée. Il n'est pas nécessaire d'examiner les autres motifs de l'autorité précédente, l'invalidation du contrat de vente passé entre les parties et les griefs de la recourante, soit l'établissement inexact des faits, l'interdiction du formalisme excessif, la violation du droit à la preuve et le fait que la cause aurait été gardée à juger " sans équité " (sic), dès lors que la recourante ne remet pas en cause le fait qu'elle n'a pas proposé à l'assemblée générale 2019 de l'intimée d'instituer un contrôle spécial. Pour le même motif, il n'y a pas lieu d'examiner le grief concernant l'administration des preuves. Le grief est infondé.</w:t>
      </w:r>
    </w:p>
    <w:p>
      <w:r>
        <w:rPr>
          <w:b/>
        </w:rPr>
        <w:t>E. 3</w:t>
      </w:r>
    </w:p>
    <w:p>
      <w:r>
        <w:t>Le recours doit par conséquent être rejeté selon la procédure simplifiée prévue par l' art. 109 al. 2 let. a LTF , aux frais de la recourante qui succombe ( art. 65 et 66 al. 1 LTF ). Au vu de ce qui précède, le montant des frais judiciaires sera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