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4A_384/2017 vom 4. Oktober 2017</w:t>
      </w:r>
    </w:p>
    <w:p>
      <w:r>
        <w:t>Bundesgericht, 2017-10-04, FR</w:t>
      </w:r>
    </w:p>
    <w:p>
      <w:r>
        <w:rPr>
          <w:b/>
        </w:rPr>
        <w:t xml:space="preserve">Quelle: </w:t>
      </w:r>
      <w:r>
        <w:t>https://mcp.opencaselaw.ch/entscheid/bger_4A_384_2017</w:t>
      </w:r>
    </w:p>
    <w:p>
      <w:r>
        <w:t>FR: TF 4A_384/2017 du 4 octobre 2017</w:t>
      </w:r>
    </w:p>
    <w:p>
      <w:r>
        <w:t>IT: TF 4A_384/2017 del 4 ottobre 2017</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let. a LTF ).</w:t>
      </w:r>
    </w:p>
    <w:p>
      <w:r>
        <w:rPr>
          <w:b/>
        </w:rPr>
        <w:t>E. 1.1</w:t>
      </w:r>
    </w:p>
    <w:p>
      <w:r>
        <w:t>Le siège du TAS se trouve à Lausanne. Aucune des parties n'avait son domicile ou son siège en Suisse au moment déterminant. Les dispositions du chapitre 12 de la LDIP sont donc applicables ( art. 176 al. 1 LDIP ).</w:t>
      </w:r>
    </w:p>
    <w:p>
      <w:r>
        <w:rPr>
          <w:b/>
        </w:rPr>
        <w:t>E. 1.2</w:t>
      </w:r>
    </w:p>
    <w:p>
      <w:r>
        <w:t>Le recours en matière civile visé par l' art. 77 al. 1 let. a LTF en liaison avec les art. 190 à 192 LDIP n'est recevable qu'à l'encontre d'une</w:t>
      </w:r>
    </w:p>
    <w:p>
      <w:r>
        <w:t>sentence , qu'elle soit finale, partielle, préjudicielle ou incidente.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 L'acte attaquable, du reste, ne doit pas nécessairement émaner de la Formation qui a été désignée pour statuer dans la cause en litige; il peut aussi être le fait du président d'une Chambre arbitrale du TAS, voire du secrétaire général de ce tribunal arbitral. Au demeurant, pour juger de la recevabilité du recours, ce qui est déterminant n'est pas la dénomination du prononcé entrepris, mais le contenu de celui-ci ( ATF 142 III 284 consid. 1.1.1 et l'arrêt cité).</w:t>
      </w:r>
    </w:p>
    <w:p>
      <w:r>
        <w:t>A considérer ne serait-ce déjà que son intitulé (</w:t>
      </w:r>
    </w:p>
    <w:p>
      <w:r>
        <w:t>Ordonnance de clôture ), la décision attaquée n'est pas une simple ordonnance de procédure susceptible d'être modifiée ou rapportée en cours d'instance. En effet, conformément à l'art. R49 du Code, la Présidente de la Chambre d'appel du TAS, donnant suite à une demande formulée par l'intimée n° 1 une fois la procédure arbitrale mise en oeuvre, a décidé de clôturer cette procédure après avoir invité les autres parties à se déterminer. Elle a ainsi rendu une décision d'irrecevabilité qui clôt l'affaire pour un motif tiré des règles de la procédure. Que cette décision émane d'une Présidente de Chambre plutôt que d'une Formation arbitrale, laquelle n'était du reste pas encore constituée, n'empêche pas qu'il s'agit bien d'une décision susceptible de recours au Tribunal fédéral (arrêt 4A_692/2016 du 20 avril 2017 consid. 2.3 et le précédent cité).</w:t>
      </w:r>
    </w:p>
    <w:p>
      <w:r>
        <w:rPr>
          <w:b/>
        </w:rPr>
        <w:t>E. 1.3</w:t>
      </w:r>
    </w:p>
    <w:p>
      <w:r>
        <w:t>Le recourant, qui a pris part à la procédure devant le TAS, est particulièrement touché par la décision attaquée, car celle-ci entraîne le refus de ce tribunal arbitral de donner suite à son appel. Il a ainsi un intérêt personnel, actuel et digne de protection à ce que cette décision n'ait pas été rendue en violation des garanties invoquées par lui, ce qui lui confère la qualité pour recourir ( art. 76 al. 1 LTF ).</w:t>
      </w:r>
    </w:p>
    <w:p>
      <w:r>
        <w:t>Le recours a été formé en temps utile. En effet, son auteur démontre avoir reçu la décision attaquée le 12 juin 2017. Le délai de recours de 30 jours, fixé à l' art. 100 al. 1 LTF , arrivait donc à échéance le 12 juillet 2017. Il a été sauvegardé par la remise du mémoire, à cette date, à l'attention du Tribunal fédéral, à une représentation diplomatique suisse, qui en a attesté la réception ( art. 48 al. 1 LTF ).</w:t>
      </w:r>
    </w:p>
    <w:p>
      <w:r>
        <w:t>Rien ne fait obstacle, dès lors, à l'entrée en matière. Demeure réservé l'examen, sous l'angle de leur motivation (art. 42 al. 1 et 2, art. 77 al. 3 LTF ), des griefs invoqués par le recourant.</w:t>
      </w:r>
    </w:p>
    <w:p>
      <w:r>
        <w:rPr>
          <w:b/>
        </w:rPr>
        <w:t>E. 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comme c'était déjà le cas sous l'empire de la loi fédérale d'organisation judiciaire,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4A_668/2016 du 24 juillet 2017 consid. 2.2 et le précédent cité).</w:t>
      </w:r>
    </w:p>
    <w:p>
      <w:r>
        <w:t>Il se justifie d'appliquer par analogie ces principes aux décisions susceptibles de recours au Tribunal fédéral qui ont été rendues dans le cadre d'un arbitrage international, mais qui n'ont pas la qualité de sentences au sens strict du terme, telle celle qui a été prise en l'espèce par la Présidente de la Chambre arbitrale d'appel du TAS.</w:t>
      </w:r>
    </w:p>
    <w:p>
      <w:r>
        <w:rPr>
          <w:b/>
        </w:rPr>
        <w:t>E. 3</w:t>
      </w:r>
    </w:p>
    <w:p>
      <w:r>
        <w:t>Dans un premier moyen, fondé sur l' art. 190 al. 2 let . c LDIP, le recourant fait grief à la Présidente d'avoir omis de se prononcer sur un chef de sa demande.</w:t>
      </w:r>
    </w:p>
    <w:p>
      <w:r>
        <w:rPr>
          <w:b/>
        </w:rPr>
        <w:t>E. 3.1</w:t>
      </w:r>
    </w:p>
    <w:p>
      <w:r>
        <w:t>Selon l' art. 190 al. 2 let . c, seconde hypothèse, LDIP, la sentence peut être attaquée lorsque le tribunal arbitral a omis de se prononcer sur un des chefs de la demande. L'omission de se prononcer vise un déni de justice formel.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Le grief en question ne permet pas de faire valoir que le tribunal arbitral a omis de trancher une question importante pour la solution du litige ( ATF 128 III 234 consid. 4a p. 242 et les références; voir aussi l'arrêt 4A_173/2016 du 20 juin 2016 consid. 3.2).</w:t>
      </w:r>
    </w:p>
    <w:p>
      <w:r>
        <w:rPr>
          <w:b/>
        </w:rPr>
        <w:t>E. 3.2</w:t>
      </w:r>
    </w:p>
    <w:p>
      <w:r>
        <w:t>En l'espèce, la Présidente, saisie d'un appel interjeté par le recourant contre la décision prise le 28 juin 2016 par la Commission de discipline de A.________ à son encontre, s'est prononcée, à titre préalable, conformément à l'art. R49 du Code et à l'invitation de l'intimée n° 1, sur le point de savoir si la déclaration d'appel était tardive ou non. Retenant la première hypothèse, elle a clos la procédure pendante avant qu'une Formation ait été constituée. Ce faisant, elle a traité la seule question qui se posait à elle à ce stade initial de la procédure d'appel et a statué sur le seul "chef de la demande" entrant alors en ligne de compte, à savoir la conclusion des intimées tendant à la clôture de la procédure pour cause de tardiveté du dépôt de la déclaration d'appel. Dès lors, le grief qui lui est fait d'avoir statué</w:t>
      </w:r>
    </w:p>
    <w:p>
      <w:r>
        <w:t>infra petita tombe manifestement à faux.</w:t>
      </w:r>
    </w:p>
    <w:p>
      <w:r>
        <w:t>En réalité, le recourant reproche à la Présidente de ne pas avoir examiné son argument d'après lequel A.________ aurait méconnu les règles ADAMS (</w:t>
      </w:r>
    </w:p>
    <w:p>
      <w:r>
        <w:t>Anti-Doping Administration &amp; Management System ), un instrument de gestion en ligne conçu par l'AMA en vue de simplifier l'administration des opérations antidopage des partenaires et des sportifs au quotidien (voir, à ce sujet, le site internet: https://www.wada-ama.org/fr/nos-activites/adams). Or, comme on l'a rappelé plus haut, l' art. 190 al. 2 let . c LDIP ne permet pas de faire valoir que le tribunal arbitral a omis de trancher une question importante pour la solution du litige.</w:t>
      </w:r>
    </w:p>
    <w:p>
      <w:r>
        <w:rPr>
          <w:b/>
        </w:rPr>
        <w:t>E. 4</w:t>
      </w:r>
    </w:p>
    <w:p>
      <w:r>
        <w:t>Dans un second moyen, divisé en trois branches, le recourant soutient que la décision attaquée est incompatible avec l'ordre public ( art. 190 al. 2 let . e LDIP).</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ibid.).</w:t>
      </w:r>
    </w:p>
    <w:p>
      <w:r>
        <w:rPr>
          <w:b/>
        </w:rPr>
        <w:t>E. 4.2.1</w:t>
      </w:r>
    </w:p>
    <w:p>
      <w:r>
        <w:t>Dans la première branche du moyen examiné, le recourant fait grief à la Présidente d'avoir violé son droit au respect de la vie privée et à la protection des données concernant sa personne, tel qu'il est garanti par l'art. 8 de la Convention de sauvegarde des droits de l'homme et des libertés fondamentales (CEDH; RS 0.101) et par l'art. 13 de la Constitution fédérale de la Confédération suisse (Cst.; RS 101), en ne sanctionnant pas le non-respect du système ADAMS par A.________, mais en validant, au contraire, l'utilisation par cette fédération d'un système privé de messagerie électronique gratuite (</w:t>
      </w:r>
    </w:p>
    <w:p>
      <w:r>
        <w:t>Yahoo ) pour la notification de sa décision disciplinaire.</w:t>
      </w:r>
    </w:p>
    <w:p>
      <w:r>
        <w:t>Il n'est pas possible de se ranger à cet avis. D'abord, le recourant n'indique nullement sur quelle base il assoit son affirmation d'après laquelle A.________ était tenue d'appliquer les règles ADAMS pour lui notifier sa décision disciplinaire. Ensuite, une partie ne peut pas se plaindre directement, dans le cadre d'un recours en matière civile au Tribunal fédéral formé contre une sentence ou une décision apparentée, de ce que l'auteur de celle-ci aurait violé la CEDH ou la Cst., même si les principes découlant de ces instruments juridiques peuvent servir, le cas échéant, à concrétiser les garanties invoquées par elle sur la base de l' art. 190 al. 2 LDIP (arrêt 4A_246/2014 du 15 juillet 2015 consid. 7.2.2). Du reste, le recourant n'indique pas en quoi le mode de notification utilisé par A.________ aurait, concrètement, porté atteinte à sa vie privée; il ne démontre pas, en particulier, que la décision disciplinaire prise à son encontre aurait bénéficié, de ce fait, d'une large publicité, allant bien au-delà du cercle des personnes intéressées. Enfin, même si c'eût été le cas, on verrait mal en quoi cet état de choses pourrait avoir une quelconque incidence sur la question du respect du délai d'appel.</w:t>
      </w:r>
    </w:p>
    <w:p>
      <w:r>
        <w:rPr>
          <w:b/>
        </w:rPr>
        <w:t>E. 4.2.2</w:t>
      </w:r>
    </w:p>
    <w:p>
      <w:r>
        <w:t>Dans la deuxième branche du même moyen, le recourant se plaint de la violation des droits fondamentaux de la défense et du droit à un procès équitable. Invoquant l' art. 6 CEDH , il reproche, en substance, à la Présidente d'avoir déclaré son appel tardif alors que, selon lui, elle n'avait pas pu établir, à satisfaction de droit, le moment exact auquel il avait reçu la décision disciplinaire de A.________.</w:t>
      </w:r>
    </w:p>
    <w:p>
      <w:r>
        <w:t>Le recours n'est pas plus fondé sur ce point que sur le précédent. La référence faite par son auteur à une disposition de la CEDH appelle la même remarque que celle qui a été formulée ci-dessus (cf. consid. 4.2.1). Pour le reste, la Présidente, contrairement à ce que soutient le recourant, a fixé à une date précise - le 30 juin 2016 - le moment auquel il avait reçu la décision contre laquelle il a interjeté appel. Elle l'a fait sur la base des preuves dont elle disposait. La constatation y relative lie la Cour de céans (cf. consid. 2, 2e §, ci-dessus). Ainsi, la prémisse du raisonnement tenu par le recourant n'est pas correcte, ce qui prive de toute pertinence la conclusion qu'en tire l'intéressé.</w:t>
      </w:r>
    </w:p>
    <w:p>
      <w:r>
        <w:rPr>
          <w:b/>
        </w:rPr>
        <w:t>E. 4.2.3</w:t>
      </w:r>
    </w:p>
    <w:p>
      <w:r>
        <w:t>Le recourant intitule comme il suit la troisième branche du grief considéré: "la violation du droit au recours à un second degré de juridiction, et du droit à un procès équitable". Invoquant les art. 6 et 13 CEDH , il allègue un certain nombre de circonstances censées établir sa bonne foi, insiste ensuite sur l'importance que revêt pour lui la possibilité de soumettre son cas à une instance indépendante et spécialisée, qualités que A.________ ne pourrait revendiquer à son avis, affirme avoir de réelles chances de faire triompher son point de vue devant une telle instance et expose, enfin, la situation très critique à laquelle il doit faire face, avec sa famille, en raison de la sanction disciplinaire qui lui a été infligée.</w:t>
      </w:r>
    </w:p>
    <w:p>
      <w:r>
        <w:t>Cette dernière partie du second moyen ne résiste pas davantage à l'examen. D'abord, les dispositions de la CEDH, on l'a vu, ne sont pas directement applicables dans la présente procédure. Ensuite, l'exigence d'une double instance ou d'un double degré de juridiction ne relève pas de l'ordre public procédural au sens de l' art. 190 al. 2 let . e LDIP (arrêts 4A_530/2011 du 3 octobre 2011 consid. 3.3.2 et 4A_386/2010 du 3 janvier 2011 consid. 6.2). Par ailleurs, la prétendue bonne foi du recourant ne saurait remédier au non-respect du délai d'appel. De plus, les circonstances invoquées pêle-mêle par l'intéressé dans son mémoire de recours, qu'elles aient trait à sa situation personnelle ou au comportement des instances qui se sont occupées de son cas, à les supposer avérées, ne suffisent pas, telles qu'elles sont alléguées et à défaut d'une démonstration digne de ce nom, à établir l'incompatibilité de la décision attaquée avec l'ordre public procédural ou matériel. C'est le lieu d'observer, enfin, que les formes procédurales sont nécessaires à la mise en oeuvre des voies de droit pour assurer le déroulement de la procédure conformément à l'égalité de traitement. Au regard de ce principe et sous l'angle de la sécurité du droit, un strict respect des dispositions concernant les délais de recours s'impose (arrêt 4A_690/2016 du 9 février 2017 consid. 4.2). Il n'est donc pas envisageable, à défaut d'une disposition écrite contraire, de sanctionner plus ou moins sévèrement le non-respect d'un délai de recours - au lieu de déclarer toujours le recours irrecevable - suivant le degré de gravité de l'atteinte que la décision susceptible de recours porte à la partie qui n'a pas recouru en temps utile contre cette décision.</w:t>
      </w:r>
    </w:p>
    <w:p>
      <w:r>
        <w:t>Cela étant, le recours ne peut qu'être rejeté dans la mesure de sa recevabilité.</w:t>
      </w:r>
    </w:p>
    <w:p>
      <w:r>
        <w:rPr>
          <w:b/>
        </w:rPr>
        <w:t>E. 5</w:t>
      </w:r>
    </w:p>
    <w:p>
      <w:r>
        <w:t>Invoquant l' art. 64 al. 1 LTF , le recourant sollicite sa mise au bénéfice de l'assistance judiciaire.</w:t>
      </w:r>
    </w:p>
    <w:p>
      <w:r>
        <w:t>Sur le principe, rien ne s'oppose à l'admission de cette requête, malgré le fait que la décision entreprise a été rendue dans le cadre d'un arbitrage (arrêt 4A_690/2016 du 9 février 2017 consid. 5.1). Cependant, comme le recours était voué à l'échec, l'une des deux conditions cumulatives à la réalisation desquelles la disposition citée subordonne l'octroi de l'assistance judiciaire n'est pas remplie en l'espèce. Ladite requête doit, dès lors, être rejetée. Faisant application de la faculté que lui confère l'art. 66 al. 1 in fine LTF, la Cour de céans renoncera néanmoins à la perception de frais, étant donné les circonstances.</w:t>
      </w:r>
    </w:p>
    <w:p>
      <w:r>
        <w:t>Les intimées, qui n'ont pas été invitées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