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4A_383/2021 vom 26. August 2021</w:t>
      </w:r>
    </w:p>
    <w:p>
      <w:r>
        <w:t>Bundesgericht, 2021-08-26, DE</w:t>
      </w:r>
    </w:p>
    <w:p>
      <w:r>
        <w:rPr>
          <w:b/>
        </w:rPr>
        <w:t xml:space="preserve">Quelle: </w:t>
      </w:r>
      <w:r>
        <w:t>https://mcp.opencaselaw.ch/entscheid/bger_4A_383_2021</w:t>
      </w:r>
    </w:p>
    <w:p>
      <w:r>
        <w:t>FR: TF 4A_383/2021 du 26 août 2021</w:t>
      </w:r>
    </w:p>
    <w:p>
      <w:r>
        <w:t>IT: TF 4A_383/2021 del 26 agosto 2021</w:t>
      </w:r>
    </w:p>
    <w:p>
      <w:pPr>
        <w:pStyle w:val="Heading2"/>
      </w:pPr>
      <w:r>
        <w:t>Erwägungen</w:t>
      </w:r>
    </w:p>
    <w:p>
      <w:r>
        <w:rPr>
          <w:b/>
        </w:rPr>
        <w:t>E. 1</w:t>
      </w:r>
    </w:p>
    <w:p>
      <w:r>
        <w:t>Mit Entscheid vom 18. Februar 2021 wies das Regionalgericht Prättigau/Davos eine von der Beschwerdeführerin gegen ihre ehemalige Arbeitgeberin (Beschwerdegegnerin) erhobene Forderungsklage aus Arbeitsvertrag ab.</w:t>
      </w:r>
    </w:p>
    <w:p>
      <w:r>
        <w:t>Mit Urteil vom 16. Juni 2021 wies das Kantonsgericht von Graubünden eine von der Beschwerdeführerin gegen den regionalgerichtlichen Entscheid vom 18. Februar 2021 erhobene Berufung ab.</w:t>
      </w:r>
    </w:p>
    <w:p>
      <w:r>
        <w:t>Mit Eingabe vom 19. Juli 2021 erklärte die Beschwerdeführerin dem Bundesgericht sinngemäss, den Entscheid des Kantonsgerichts von Graubünden vom 16. Juni 2021 mit Beschwerde anfechten zu wollen.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setzt sich in ihrer Beschwerdeeingabe vom 19. Juli 2021 nicht mit den Erwägungen des angefochtenen Entscheids des Kantonsgerichts von Graubünden vom 16. Juni 2021 auseinander und zeigt nicht auf, inwiefern die Vorinstanz mit ihrem Entscheid Bundesrecht verletzt hätte. Stattdessen kritisiert sie in unzulässiger Weise unmittelbar den Entscheid des Regionalgerichts Prättigau/Davos vom 18. Februar 2021, bei dem es sich nicht um einen letztinstanzlichen Entscheid im Sinne von Art. 75 Abs. 1 BGG handelt. Sie bestreitet zudem lediglich in appellatorischer Weise eine Täuschungsabsicht, zeigt jedoch nicht auf, inwiefern die Vorinstanz Art. 28 OR unzutreffend angewendet haben soll. Die Eingabe erfüllt damit die erwähnten Begründungsanforderungen offensichtlich nicht.</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