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4A_383/2015 vom 7. Januar 2016</w:t>
      </w:r>
    </w:p>
    <w:p>
      <w:r>
        <w:t>Bundesgericht, 2016-01-07, DE</w:t>
      </w:r>
    </w:p>
    <w:p>
      <w:r>
        <w:rPr>
          <w:b/>
        </w:rPr>
        <w:t xml:space="preserve">Quelle: </w:t>
      </w:r>
      <w:r>
        <w:t>https://mcp.opencaselaw.ch/entscheid/bger_4A_383_2015</w:t>
      </w:r>
    </w:p>
    <w:p>
      <w:r>
        <w:t>FR: TF 4A_383/2015 du 7 janvier 2016</w:t>
      </w:r>
    </w:p>
    <w:p>
      <w:r>
        <w:t>IT: TF 4A_383/2015 del 7 gennaio 2016</w:t>
      </w:r>
    </w:p>
    <w:p>
      <w:pPr>
        <w:pStyle w:val="Heading2"/>
      </w:pPr>
      <w:r>
        <w:t>Erwägungen</w:t>
      </w:r>
    </w:p>
    <w:p>
      <w:r>
        <w:rPr>
          <w:b/>
        </w:rPr>
        <w:t>E. 1</w:t>
      </w:r>
    </w:p>
    <w:p>
      <w:r>
        <w:t>Mit Präsidialverfügung vom 20. April 2015 ist das Mietgericht auf die Klage eingetreten und hat damit seine örtliche und sachliche Zuständigkeit zur Beurteilung der Klage bejaht. Dabei handelt es sich um einen (positiven) Prozesszwischenentscheid betreffend die Zuständigkeit in einer Zivilsache ( Art. 72 BGG ). Die Beschwerde gegen den diesen bestätigenden Rechtsmittelentscheid einer oberen kantonalen Letztinstanz ist zulässig ( Art. 92 Abs. 1 BGG i.V.m. Art. 75 BGG ). Die Beschwerdeführerin ist sodann mit ihren Berufungsbegehren unterlegen ( Art. 76 BGG ) und hat die Beschwerde innert der Beschwerdefrist eingereicht ( Art. 100 BGG ). Der erforderliche Streitwert von Fr. 15'000.-- ist erreicht ( Art. 74 Abs. 1 lit. a BGG ). Auf die Beschwerde in Zivilsachen ist unter Vorbehalt einer gehörigen Begründung ( Art. 42 Abs. 2 BGG und Art. 106 Abs. 2 BGG ) einzutreten.</w:t>
      </w:r>
    </w:p>
    <w:p>
      <w:r>
        <w:rPr>
          <w:b/>
        </w:rPr>
        <w:t>E. 2</w:t>
      </w:r>
    </w:p>
    <w:p>
      <w:r>
        <w:t>Die Beschwerdeführerin macht geltend, die Vorinstanz habe die sachliche Zuständigkeit des Handelsgerichts zu Unrecht verneint. Entgegen der Auffassung der Vorinstanz sei nicht das Mietgericht zuständig, da kein Anwendungsfall des Kündigungsschutzes i.S. von Art. 243 Abs. 2 lit. c ZPO vorliege. Die Beschwerdegegnerin habe vor der Schlichtungsbehörde nämlich nur ein Begehren auf Feststellung betreffend die Wirksamkeit der Kündigung gestellt, nicht aber ein Gestaltungsbegehren auf Anfechtung der Kündigung i.S. von Art. 271 ff. OR . Ein reines Feststellungsbegehren stelle aber keinen Fall des Kündigungsschutzes dar und falle daher nicht unter Art. 243 Abs. 2 lit. c ZPO . Das Bundesgericht habe im Leitentscheid BGE 139 III 457 E. 5.3 explizit offen gelassen, ob ein Fall von Kündigungsschutz i.S. von Art. 243 Abs. 2 lit. c ZPO vorliege, wenn nur die Feststellung der Nichtigkeit bzw. Unwirksamkeit der Kündigung verlangt werde.</w:t>
      </w:r>
    </w:p>
    <w:p>
      <w:r>
        <w:rPr>
          <w:b/>
        </w:rPr>
        <w:t>E. 2.1</w:t>
      </w:r>
    </w:p>
    <w:p>
      <w:r>
        <w:t>Gemäss Art. 243 Abs. 2 lit. c ZPO gilt das vereinfachte Verfahren ohne Rücksicht auf den Streitwert für Streitigkeiten aus Miete und Pacht von Wohn- und Geschäftsräumen sowie aus landwirtschaftlicher Pacht, sofern u.a. der</w:t>
      </w:r>
    </w:p>
    <w:p>
      <w:r>
        <w:t>Kündigungsschutz betroffen ist.</w:t>
      </w:r>
    </w:p>
    <w:p>
      <w:r>
        <w:t>Das Bundesgericht hat sich im Leitentscheid BGE 139 III 457 E. 5.2 f. S. 465 ff. mit dem Begriff des Kündigungsschutzes i.S. der genannten Bestimmung auseinander gesetzt. Es hat dabei darauf hingewiesen, dass die Frage, ob sich der Begriff des Kündigungsschutzes nur auf die Anfechtbarkeit der Kündigung gemäss Art. 271 und Art. 271a OR beziehe oder auch die Unwirksamkeit oder Nichtigkeit einer Kündigung einschliesse, in der vornehmlich französischsprachigen Literatur kontrovers diskutiert wird. Die Begrenzung wird damit begründet, "Kündigungsschutz" gemäss Art. 243 Abs. 2 lit. c ZPO entspreche der Überschrift des dritten Abschnitts des 8. Titels des OR (Art. 271 bis 273c OR) und könne sich daher nur auf die in diesem Abschnitt geregelte Anfechtung ( Art. 271 und 271a OR ) und die Erstreckung des Mietverhältnisses ( Art. 272 ff. OR ) beziehen. Immerhin wird anerkannt, dass die Gültigkeit oder Nichtigkeit der Kündigung als Vorfrage im Rahmen eines Anfechtungsverfahrens geprüft werden kann. Das ordentliche Verfahren gelangt dagegen nach einem Teil der Lehre zur Anwendung, wenn in einem selbstständigen Verfahren, namentlich im Rahmen eines Ausweisungsverfahrens (das mangels liquider Verhältnisse die Anforderungen von Art. 248 lit. b und Art. 257 Abs. 1 ZPO nicht erfüllt), auf Feststellung der Gültigkeit der Kündigung geklagt wird und der Streitwert 30'000 Franken übersteigt. Ein anderer Teil der Lehre geht hingegen von einem weiten Verständnis des Begriffs des Kündigungsschutzes in Art. 243 Abs. 2 lit. c ZPO aus, der jeden Fall der Bestreitung der Gültigkeit der Kündigung erfasst, sei es wegen Anfechtbarkeit, Unwirksamkeit oder Nichtigkeit ( BGE 139 III 457 E. 5.2 S. 465).</w:t>
      </w:r>
    </w:p>
    <w:p>
      <w:r>
        <w:t>Die Frage, ob ein Fall von Kündigungsschutz vorliege, wenn ausschliesslich die Feststellung der Nichtigkeit bzw. Unwirksamkeit beantragt wird, hat das Bundesgericht offengelassen ( BGE 139 III 457 E. 5.3 S. 466). Denn im Rahmen eines Anfechtungsverfahrens nach Art. 273 OR ist vorfrageweise auch die Nichtigkeit bzw. Wirksamkeit der Kündigung zu prüfen. Dabei kann die Anfechtung auch nur eventualiter erfolgen, während im Hauptantrag die Feststellung der Unwirksamkeit, Ungültigkeit bzw. Nichtigkeit anbegehrt wird. Die Schlichtungsstelle hat diesfalls zunächst die Wirksamkeit der Kündigung zu prüfen, bevor sie die eventualiter geltend gemachte Anfechtung wegen Missbräuchlichkeit die Gültigkeit der Kündigung zu beurteilen hat. Auch wenn die Schlichtungsbehörde zum Schluss kommt, dass die Kündigung unwirksam ist und die Missbräuchlichkeit folglich gar nicht mehr zu prüfen ist, handelt es sich nach wie vor um ein Anfechtungsverfahren i.S. von Art. 273 OR , weshalb die Schlichtungsbehörde auch befugt ist, den Parteien zur Frage der Wirksamkeit einen Urteilsvorschlag gemäss Art. 210 Abs. 1 lit. b ZPO zu unterbreiten. Wird dieser abgelehnt, hat die ablehnende Partei in der Folge eine Klage einzureichen, ansonsten dem (abgelehnten) Urteilsvorschlag die Wirkungen eines rechtskräftigen Entscheids zukommen ( Art. 211 Abs. 3 ZPO ). Bei dieser Klage handelt es sich um einen Fall von Kündigungsschutz gemäss Art. 243 Abs. 2 lit. c ZPO ( BGE 139 III 457 E. 5.3 S. 466).</w:t>
      </w:r>
    </w:p>
    <w:p>
      <w:r>
        <w:rPr>
          <w:b/>
        </w:rPr>
        <w:t>E. 2.2</w:t>
      </w:r>
    </w:p>
    <w:p>
      <w:r>
        <w:t>Vorliegend hat sich die Beschwerdegegnerin mit folgendem Begehren an die Schlichtungsbehörde gewendet:</w:t>
      </w:r>
    </w:p>
    <w:p>
      <w:r>
        <w:t>"Es sei die mit Zuschrift der Beklagten [A.________ AG] vom 18. August 2014 auf den 25. August 2014 angezeigte Kündigung als unwirksam, eventualiter als missbräuchlich zu erkennen."</w:t>
      </w:r>
    </w:p>
    <w:p>
      <w:r>
        <w:t>Anlässlich der Schlichtungsverhandlung formulierte die Beschwerdegegnerin ihr Begehren neu wie folgt:</w:t>
      </w:r>
    </w:p>
    <w:p>
      <w:r>
        <w:t>"Es sei festzustellen, dass die mit Zuschrift vom 18. August 2014 auf den 25. August 2014 angezeigte Kündigung unwirksam und missbräuchlich sei. "</w:t>
      </w:r>
    </w:p>
    <w:p>
      <w:r>
        <w:t>Nach Auffassung der Beschwerdeführerin handelt es sich bei diesen Begehren nicht um eine Anfechtung i.S. von Art. 273 OR und damit nicht um einen Fall des Kündigungsschutzes i.S. von Art. 210 Abs. 1 lit. b ZPO sowie Art. 243 Abs. 2 lit. c ZPO . Nach Treu und Glauben ausgelegt, handle es sich bei den entsprechenden Begehren an die Schlichtungsbehörde um reine Feststellungsbegehren, ohne dass damit eine Anfechtung verbunden gewesen sei. Entsprechend sei die Schlichtungsbehörde für die Ausstellung eines Urteilsvorschlags gar nicht zuständig gewesen und liege auch kein Anwendungsfall des vereinfachten Verfahrens vor.</w:t>
      </w:r>
    </w:p>
    <w:p>
      <w:r>
        <w:rPr>
          <w:b/>
        </w:rPr>
        <w:t>E. 2.3</w:t>
      </w:r>
    </w:p>
    <w:p>
      <w:r>
        <w:t>Wie alle Prozesshandlungen sind Rechtsbegehren nach Treu und Glauben auszulegen, insbesondere im Lichte der dazu gegebenen Begründung ( BGE 123 IV 125 E. 1; 115 Ia 107 E. 2b S. 109; 105 II 149 E. 2a S. 152; Urteile 4A_440/2014 vom 27. November 2014 E. 3.3; 5A_783/2009 vom 5. August 2010 E. 3.3.2, nicht publ. in: BGE 136 III 490 ). Dabei ist nicht einfach die allenfalls unrichtige Bezeichnung oder Ausdrucksweise massgebend (Urteile 4A_440/2014 vom 27. November 2014 E. 3.3; 5C.159/2000 vom 6. September 2000 E. 3c/aa).</w:t>
      </w:r>
    </w:p>
    <w:p>
      <w:r>
        <w:rPr>
          <w:b/>
        </w:rPr>
        <w:t>E. 2.4</w:t>
      </w:r>
    </w:p>
    <w:p>
      <w:r>
        <w:t>Aus dem ursprünglichen Begehren im Schlichtungsgesuch geht hervor, dass die Beschwerdegegnerin im</w:t>
      </w:r>
    </w:p>
    <w:p>
      <w:r>
        <w:t>Hauptpunkt die Feststellung der Unwirksamkeit der Kündigung verlangte und diese im</w:t>
      </w:r>
    </w:p>
    <w:p>
      <w:r>
        <w:t>Eventualpunkt auch noch als missbräuchlich anfocht. Diese Möglichkeit der Verbindung eines Feststellungsbegehren im Hauptpunkt mit einem Anfechtungsbegehren wegen Missbräuchlichkeit im Eventualpunkt steht im Einklang mit der bundesgerichtlichen Rechtsprechung (oben E. 2.1</w:t>
      </w:r>
    </w:p>
    <w:p>
      <w:r>
        <w:t>in fine unter Hinweis auf BGE 139 III 457 E. 5.3 S. 466). Dass die Beschwerdegegnerin dabei die Formulierung verwendete, es sei die Kündigung "als missbräuchlich zu erkennen", statt ausdrücklich deren Aufhebung zu verlangen, ändert nichts daran, dass es sich nach Treu und Glauben ausgelegt um ein Kündigungsschutzbegehren handelt. Denn ein Anfechtungsbegehren i.S. von Art. 273 OR ist von Gesetzes wegen auf die Aufhebung der Kündigung ausgerichtet, weshalb die konkrete Formulierung des Begehrens irrelevant ist, solange - wie hier - nach Treu und Glauben erkennbar ist, dass damit die Kündigung als</w:t>
      </w:r>
    </w:p>
    <w:p>
      <w:r>
        <w:t>missbräuchlich i.S. der Art. 271 ff. OR angefochten werden soll. Dass die Schlichtungseingabe der Beschwerdegegnerin nach Treu und Glauben als Anfechtungsbegehren i.S. von Art. 273 OR zu verstehen war, ergibt sich vorliegend auch aus der Begründung der Schlichtungseingabe, wo diese unmissverständlich als "Anfechtungsklage" bezeichnet wird. Diese musste die Beschwerdegegnerin bei der Schlichtungsbehörde fristgerecht einreichen, um überhaupt (im Eventualstandpunkt) eine Missbräuchlichkeit i.S. von Art. 271 OR geltend machen zu können. Dass die Beschwerdegegnerin den Wortlaut ihres Begehrens in der Folge anlässlich der Schlichtungsverhandlung neu so formulierte, dass sie nunmehr eine Feststellung verlangte, die Kündigung sei "unwirksam und missbräuchlich", ändert nichts daran, dass sie die Schlichtungsbehörde jedenfalls für den Fall, dass sich die Kündigung nicht ohnehin als unwirksam erweisen sollte, auch um Kündigungsschutz i.S. der Art. 271 ff. OR ersuchte. Nur so kann die Verwendung des Begriffs der Missbräuchlichkeit verstanden werden. Nach Treu und Glauben lässt sich das Begehren der Beschwerdegegnerin jedenfalls nicht so verstehen, dass sie die Schlichtungsbehörde nunmehr nur noch um Feststellung der Unwirksamkeit oder Nichtigkeit der Kündigung ersuchen möchte, ohne dass es sich dabei eventualiter auch noch um eine Anfechtung i.S. von Art. 273 OR handeln sollte.</w:t>
      </w:r>
    </w:p>
    <w:p>
      <w:r>
        <w:t>Die Auffassung der Beschwerdeführerin, dass es sich beim Schlichtungsbegehren der Beschwerdegegnerin um ein reines Feststellungsbegehren handle, ohne dass gleichzeitig um Kündigungsschutz i.S. der Art. 271 ff. OR ersucht worden wäre, ist damit unzutreffend. Vielmehr handelt es sich vorliegend um einen Fall des Kündigungsschutzes i.S. von Art. 210 Abs. 1 lit. b ZPO und Art. 243 Abs. 2 lit. c ZPO , da die Beschwerdegegnerin die Kündigung der Beschwerdeführerin jedenfalls im Eventualstandpunkt als missbräuchlich i.S. von Art. 271 OR angefochten hat. Die Vorinstanz hat die sachliche Zuständigkeit des Handelsgerichts im Einklang mit der bundesgerichtlichen Rechtsprechung zu Recht verneint.</w:t>
      </w:r>
    </w:p>
    <w:p>
      <w:r>
        <w:rPr>
          <w:b/>
        </w:rPr>
        <w:t>E. 3</w:t>
      </w:r>
    </w:p>
    <w:p>
      <w:r>
        <w:t>Die Beschwerde ist abzuweisen.</w:t>
      </w:r>
    </w:p>
    <w:p>
      <w:r>
        <w:t>Bei diesem Ausgang des Verfahrens wird die Beschwerdeführerin kosten- und entschädigungspflichtig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