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4A_383/2012 vom 9. Oktober 2012</w:t>
      </w:r>
    </w:p>
    <w:p>
      <w:r>
        <w:t>Bundesgericht, 2012-10-09, FR</w:t>
      </w:r>
    </w:p>
    <w:p>
      <w:r>
        <w:rPr>
          <w:b/>
        </w:rPr>
        <w:t xml:space="preserve">Quelle: </w:t>
      </w:r>
      <w:r>
        <w:t>https://mcp.opencaselaw.ch/entscheid/bger_4A_383_2012</w:t>
      </w:r>
    </w:p>
    <w:p>
      <w:r>
        <w:t>FR: TF 4A_383/2012 du 9 octobre 2012</w:t>
      </w:r>
    </w:p>
    <w:p>
      <w:r>
        <w:t>IT: TF 4A_383/2012 del 9 ottobre 2012</w:t>
      </w:r>
    </w:p>
    <w:p>
      <w:pPr>
        <w:pStyle w:val="Heading2"/>
      </w:pPr>
      <w:r>
        <w:t>Erwägungen</w:t>
      </w:r>
    </w:p>
    <w:p>
      <w:r>
        <w:rPr>
          <w:b/>
        </w:rPr>
        <w:t>E. 1</w:t>
      </w:r>
    </w:p>
    <w:p>
      <w:r>
        <w:t>L'arrêt de la Cour de justice est une décision finale ( art. 90 LTF ) relative aux actions concernant la résiliation ou la prolongation d'un bail prévues par l' art. 273 CO , rendue en dernière instance cantonale ( art. 75 al. 1 LTF ).</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137 III 389 consid. 1.1; ATF 136 III 196 consid. 1.1 p. 197). En l'espèce, compte tenu d'un loyer annuel de 42'000 fr., la valeur minimale de 15'000 fr. ( art. 74 al. 1 let. a LTF ) est atteinte.</w:t>
      </w:r>
    </w:p>
    <w:p>
      <w:r>
        <w:t>Le recours est formé par une partie qui a pris part à l'instance précédente et succombé dans ses conclusions ( art. 76 al. 1 LTF ). Introduit en temps utile ( art. 100 al. 1 LTF ) et dans les formes requises (art. 42 al. 1 à 3 LTF), le recours en matière civile est en principe recevable.</w:t>
      </w:r>
    </w:p>
    <w:p>
      <w:r>
        <w:rPr>
          <w:b/>
        </w:rPr>
        <w:t>E. 2</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t>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137 I 58 consid. 4.1.2 p. 62; 136 III 552 consid. 4.2 p. 560; 129 I 8 consid. 2.1).</w:t>
      </w:r>
    </w:p>
    <w:p>
      <w:r>
        <w:rPr>
          <w:b/>
        </w:rPr>
        <w:t>E. 3</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31 consid. 4a p. 32; voir aussi ATF 135 III 112 consid. 4.1 p. 119; 136 III 190 consid. 2 p. 192).</w:t>
      </w:r>
    </w:p>
    <w:p>
      <w:r>
        <w:t>En l'espèce, le bailleur a d'emblée invoqué le besoin de loger sa propre fille.</w:t>
      </w:r>
    </w:p>
    <w:p>
      <w:r>
        <w:t>Le recourant soutient que son adverse partie a résilié le bail afin de se débarrasser d'un locataire résolu à exercer ses droits, que le besoin de loger sa fille est un simple prétexte et que le congé est donc annulable sur la base de l' art. 271 al. 1 CO . Le recourant fait valoir qu'après la résiliation présentement litigieuse, plusieurs appartements se sont libérés dans les bâtiments appartenant à son cocontractant. Il affirme que ce dernier aurait pu attribuer l'un ou l'autre de ces logements à sa fille, ou le proposer à lui-même en remplacement de son appartement actuel. A son avis, l'attitude du bailleur dénote que le motif allégué n'était pas le motif réel du congé.</w:t>
      </w:r>
    </w:p>
    <w:p>
      <w:r>
        <w:t>La validité d'un congé doit être appréciée en fonction des circonstances présentes au moment de cette manifestation de volonté ( ATF 109 II 153 consid. 3b p. 156). Elucider le motif d'un congé relève de la constatation des faits ( ATF 136 III 190 consid. 2 p. 192; 115 II 484 consid. 2b p. 486), de sorte que, sous réserve du contrôle restreint prévu par les art. 97 al. 1 et 105 al. 2 LTF, ce point échappe au contrôle du Tribunal fédéral. Les déductions opérées ou à opérer sur la base d'indices relèvent elles aussi de la constatation des faits ( ATF 117 II 256 consid. 2b p. 258; 136 III 486 consid. 5 p. 489; 128 III 390 consid. 4.3.3 in fine p. 398).</w:t>
      </w:r>
    </w:p>
    <w:p>
      <w:r>
        <w:t>Selon les constatations de la Cour de justice, A.Z.________ est âgée de quarante-neuf ans. Elle a vécu aux Etats-Unis d'Amérique durant douze ans, jusqu'à la fin de 2009; elle est alors revenue en Suisse parce que l'entreprise qu'elle avait fondée n'était pas rentable. Depuis 2000, elle souffre d'une maladie respiratoire chronique sévère qui nécessite un traitement permanent et l'oblige à éviter les efforts physiques et les lieux humides. Le logement qu'elle occupe actuellement, à Genève, n'offre qu'une surface de 40 m² et il est exposé à l'humidité. Son père a donné congé au recourant à fin août 2009, soit dès le moment où elle a annoncé son prochain retour. A cette époque, aucun logement adapté à ses besoins n'était disponible dans les bâtiments dont le père est propriétaire dans la Vieille-ville de Genève. Plus tard, deux appartements précédemment loués ont été restitués au propriétaire, l'un à la fin de 2009, par suite du décès du locataire, et l'autre pendant l'été de 2010.</w:t>
      </w:r>
    </w:p>
    <w:p>
      <w:r>
        <w:t>En dépit de l'opinion différente du recourant, le comportement de l'intimé relatif aux logements dont il a pu recouvrer l'usage après août 2009 n'exclut pas avec certitude qu'au moment du congé litigieux, le 27 de ce mois, ce propriétaire eût effectivement l'intention de loger sa fille dans l'appartement concerné. Le juge du fait peut donc retenir sans arbitraire que le besoin de loger A.Z.________ n'était pas un simple prétexte, selon la thèse développée à l'appui du recours, mais bien le motif réel du congé. Pour le surplus, ce motif est de toute évidence compatible avec l' art. 271 al. 1 CO .</w:t>
      </w:r>
    </w:p>
    <w:p>
      <w:r>
        <w:rPr>
          <w:b/>
        </w:rPr>
        <w:t>E. 4</w:t>
      </w:r>
    </w:p>
    <w:p>
      <w:r>
        <w:t>Selon l' art. 271a al. 1 let . e ch. 4 CO, parmi d'autres cas spécialement énumérés, le congé est annulable lorsqu'il est donné par le bailleur dans les trois ans à compter de la fin d'une procédure judiciaire ou de conciliation relative au bail, si le bailleur a alors conclu une transaction ou s'est entendu de toute autre manière avec le locataire. L' art. 271a al. 2 CO étend l'application de cette règle au cas où le locataire peut prouver par des écrits qu'il s'est entendu avec le bailleur, en dehors d'une procédure judiciaire ou de conciliation, sur une prétention relative au bail.</w:t>
      </w:r>
    </w:p>
    <w:p>
      <w:r>
        <w:t>L'annulation du congé suppose que dans les trois années qui l'ont précédé, les parties se soient trouvées en litige et qu'elles aient abouti à une solution amiable par suite de concessions du bailleur. L'annulation est donc exclue si l'une des parties a accepté aussitôt et sans discussion une prétention annoncée par l'autre partie ( ATF 130 III 563 consid. 2.1 p. 566).</w:t>
      </w:r>
    </w:p>
    <w:p>
      <w:r>
        <w:t>Le recourant se prévaut de l' art. 271a al. 2 CO ; il soutient qu'un litige s'est élevé au sujet des travaux réclamés par lui dès le 1er février 2009, jusqu'à ce que l'intimé eût enfin accepté de les exécuter. Rejetant cette argumentation, la Cour de justice retient que le bailleur « a donné suite aux prétentions de l'appelant et qu'aucune divergence n'a opposé les parties au sujet des travaux ».</w:t>
      </w:r>
    </w:p>
    <w:p>
      <w:r>
        <w:t>Savoir s'il y a eu litige entre les parties, selon la jurisprudence précitée, est une question juridique que le Tribunal fédéral examine librement sur la base des faits constatés. Le 1er février 2009, le locataire a demandé les travaux et il n'a d'abord reçu aucune réponse; le bailleur n'a réagi et accepté, rapidement, qu'après une deuxième lettre, du 12 juin 2009, où son cocontractant le menaçait de mettre en oeuvre une procédure juridique. Le silence qui a suivi la première lettre ne peut pas être interprété comme un désaccord du bailleur; il est possible que celui-ci ait voulu prendre le temps d'étudier la demande et d'envoyer un artisan sur place, ou que son inaction ait résulté d'une simple négligence. La deuxième lettre a reçu aussitôt une suite favorable. Faute d'un litige entre les parties, les précédents juges ont correctement appliqué le droit fédéral en refusant l'annulation du congé.</w:t>
      </w:r>
    </w:p>
    <w:p>
      <w:r>
        <w:rPr>
          <w:b/>
        </w:rPr>
        <w:t>E. 5</w:t>
      </w:r>
    </w:p>
    <w:p>
      <w:r>
        <w:t>Le Tribunal des baux et loyers a prolongé le contrat d'une durée de quatre ans, selon les conclusions subsidiaires du locataire. Le bailleur n'a toutefois pas appelé du jugement et cette mesure n'est donc plus litigieuse.</w:t>
      </w:r>
    </w:p>
    <w:p>
      <w:r>
        <w:t>Le recours se révèle privé de fondement, ce qui conduit à son rejet.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