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4A_382/2024 vom 14. Januar 2025</w:t>
      </w:r>
    </w:p>
    <w:p>
      <w:r>
        <w:rPr>
          <w:i/>
        </w:rPr>
        <w:t>Bundesgericht</w:t>
      </w:r>
      <w:r>
        <w:rPr>
          <w:i/>
        </w:rPr>
        <w:t xml:space="preserve">  ·  2025-01-14</w:t>
      </w:r>
      <w:r>
        <w:rPr>
          <w:i/>
        </w:rPr>
        <w:t xml:space="preserve">  ·  FR</w:t>
      </w:r>
    </w:p>
    <w:p>
      <w:r>
        <w:rPr>
          <w:b/>
        </w:rPr>
        <w:t xml:space="preserve">Source: </w:t>
      </w:r>
      <w:r>
        <w:t>https://mcp.opencaselaw.ch/entscheid/bger_4A_382_2024</w:t>
      </w:r>
    </w:p>
    <w:p>
      <w:r>
        <w:t>FR: TF 4A_382/2024 du 14 janvier 2025 · IT: TF 4A_382/2024 del 14 gennaio 2025</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30'000 fr. fixé à l' art. 74 al. 1 let. b LTF . Au surplus, le recours est exercé par la partie qui a succombé dans ses conclusions et qui a donc qualité pour recourir ( art. 76 al. 1 LTF ). Déposé dans le délai ( art. 100 al. 1 LTF ) et la forme ( art. 42 LTF ) prévus par la loi, le recours est en principe recevable. Demeure réservée, à ce stade, la recevabilité des griefs soulevés par le recourant.</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t>C'est le lieu de relever que les éléments de fait qui ressortent du mémoire de recours, notamment de la partie "en fait", et divergent de ceux retenus par la cour cantonale, sans que l'arbitraire ou le complètement de l'état de fait ne soit invoqué dans les formes prescrites, ne seront pas pris en considération.</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3.1</w:t>
      </w:r>
    </w:p>
    <w:p>
      <w:r>
        <w:t>En substance, le recourant reproche à l'instance précédente d'avoir arbitrairement retenu que les parties avaient conclu un contrat de prêt et, par-là, que la reconnaissance de dette reposait sur une cause valable. À l'entendre, il aurait pourtant allégué et démontré le contraire, ce que la cour cantonale aurait ignoré de manière insoutenable. En effet, il aurait allégué de manière générale que la reconnaissance de dette ne reposait sur aucune cause valable. De cette affirmation générale, la cour cantonale aurait dû déduire qu'il contestait plus spécifiquement l'existence d'un contrat de prêt entre les parties. Quant à la preuve, il aurait valablement démontré l'absence de contrat. De plus, puisqu'il s'agissait d'un fait négatif, la cour cantonale aurait dû exiger que l'intimé collabore à la procédure probatoire. Or, celui-ci n'aurait allégué aucun fait en lien avec l'existence du contrat de prêt et n'aurait produit aucun moyen de preuve le démontrant ou démontrant au moins qu'il aurait versé la somme litigieuse à C.________ ou à l'intimé. L'autorité précédente aurait dû en tenir compte dans l'appréciation des preuves et nier l'existence d'un contrat de prêt entre les parties.</w:t>
      </w:r>
    </w:p>
    <w:p>
      <w:r>
        <w:rPr>
          <w:b/>
        </w:rPr>
        <w:t>E. 3.2</w:t>
      </w:r>
    </w:p>
    <w:p>
      <w:r>
        <w:t>Le recourant passe sous silence les véritables motifs qui ont conduit l'instance précédente à statuer dans le sens critiqué. Effectivement, la cour cantonale a rejeté l'action en libération de dette car l'administration des preuves lui a permis d'établir que les parties s'étaient entendues sur le prêt de cette somme d'argent au recourant, et que partant, la cause de la reconnaissance de dette était établie (arrêt attaqué, consid. 4.4). Pour ce faire, elle s'est référée aux déclarations émises par les parties lors de l'audience du 17 août 2023 (cf.</w:t>
      </w:r>
    </w:p>
    <w:p>
      <w:r>
        <w:t>supra let. B.b). Le recourant ne démontre pas en quoi il serait arbitraire de déduire l'existence d'un contrat de prêt de ces déclarations. Il n'explique pas non plus en quoi il serait insoutenable de conclure que ce contrat liait le recourant, et non par hypothèse la société C.________, au vu du texte explicite de la reconnaissance de dette. Enfin, il prétend en vain avoir démontré l'absence de contrat de prêt, sans même se référer à de quelconques moyens de preuve qui iraient à l'encontre des déclarations qu'il a lui-même émises en cours de procédure.</w:t>
      </w:r>
    </w:p>
    <w:p>
      <w:r>
        <w:t>Partant, le grief doit être rejeté dans la mesure où il est recevable.</w:t>
      </w:r>
    </w:p>
    <w:p>
      <w:r>
        <w:rPr>
          <w:b/>
        </w:rPr>
        <w:t>E. 4</w:t>
      </w:r>
    </w:p>
    <w:p>
      <w:r>
        <w:t>En définitive, le recours en matière civile doit être rejeté dans la mesure où il est recevable. Le recourant, qui succombe, supportera les frais judiciaires ( art. 66 al. 1 LTF ) et versera à l'intimé une indemnité à titre de dépens ( art. 68 al. 1 et 2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