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4A_381/2022 vom 22. Dezember 2022</w:t>
      </w:r>
    </w:p>
    <w:p>
      <w:r>
        <w:t>Bundesgericht, 2022-12-22, DE</w:t>
      </w:r>
    </w:p>
    <w:p>
      <w:r>
        <w:rPr>
          <w:b/>
        </w:rPr>
        <w:t xml:space="preserve">Quelle: </w:t>
      </w:r>
      <w:r>
        <w:t>https://mcp.opencaselaw.ch/entscheid/bger_4A_381_2022</w:t>
      </w:r>
    </w:p>
    <w:p>
      <w:r>
        <w:t>FR: TF 4A_381/2022 du 22 décembre 2022</w:t>
      </w:r>
    </w:p>
    <w:p>
      <w:r>
        <w:t>IT: TF 4A_381/2022 del 22 dicembre 2022</w:t>
      </w:r>
    </w:p>
    <w:p>
      <w:pPr>
        <w:pStyle w:val="Heading2"/>
      </w:pPr>
      <w:r>
        <w:t>Erwägungen</w:t>
      </w:r>
    </w:p>
    <w:p>
      <w:r>
        <w:rPr>
          <w:b/>
        </w:rPr>
        <w:t>E. 1.1</w:t>
      </w:r>
    </w:p>
    <w:p>
      <w:r>
        <w:t>Vor der Vorinstanz lagen drei Forderungen der Beschwerdegegnerin im Streit, nämlich die Entschädigung nach Art. 5 Abs. 3 des Bundesgesetzes über die Gleichstellung von Frau und Mann (Gleichstellungsgesetz, GlG; SR 151.1) sowie der pro rata Anteil des 13. Monatslohns und die Ausstellung eines berichtigten Arbeitszeugnisses. Die Vorinstanz bezifferte den Streitwert für die Entschädigung nach Gleichstellungsgesetz auf Fr. 19'506.--, für den 13. Monatslohn auf Fr. 2'258.45 und für das Arbeitszeugnis auf Fr. 2'160.--. Die vor der Vorinstanz streitig gebliebenen Begehren ( Art. 51 Abs. 1 lit. a BGG ) belaufen sich somit zusammengerechnet ( Art. 52 BGG ) auf insgesamt Fr. 23'924.45.--, was vor Bundesgericht unbestritten ist.</w:t>
      </w:r>
    </w:p>
    <w:p>
      <w:r>
        <w:rPr>
          <w:b/>
        </w:rPr>
        <w:t>E. 1.2</w:t>
      </w:r>
    </w:p>
    <w:p>
      <w:r>
        <w:t>Die letzten beiden Ansprüche gründen auf dem Arbeitsvertrag zwischen den Parteien und stellen unbestrittenermassen eine arbeitsrechtliche Streitigkeiten im Sinne von Art. 74 Abs. 1 lit. a BGG dar. Erstere Forderung stützt die Beschwerdegegnerin auf Art. 5 Abs. 3 GlG . Auch diese Streitigkeit aus dem Gleichstellungsgesetz, das als Spezialgesetz das Arbeitsvertragsrecht ergänzt, gilt als eine arbeitsrechtliche Angelegenheit im Sinne von Art. 74 Abs. 1 lit. a BGG (Urteile 4A_13/2010 vom 3. Februar 2010 E. 1.1; 4D_88/2009 vom 18. August 2009 E. 1. Vgl. für Art. 34 ZPO Bernhard Berger/Andreas Güngerich/Christoph Hurni/Reto Strittmatter, Zivilprozessrecht, 2. Aufl. 2021 Rn. 395; Fabienne Hohl, Procédure civile, Band II, 2. Aufl. 2010, Rz. 329). Entgegen der Rechtsmittelbelehrung der Vorinstanz und der Auffassung der Beschwerdegegnerin wird in casu die Streitwertgrenze für die Beschwerde in Zivilsachen in arbeitsrechtlichen Streitigkeiten somit überschritten.</w:t>
      </w:r>
    </w:p>
    <w:p>
      <w:r>
        <w:rPr>
          <w:b/>
        </w:rPr>
        <w:t>E. 1.3</w:t>
      </w:r>
    </w:p>
    <w:p>
      <w:r>
        <w:t>Die übrigen Sachurteilsvoraussetzungen sind erfüllt und geben zu keinen weiteren Bemerkungen Anlass. Unter Vorbehalt einer rechtsgenüglichen Begründung ( Art. 42 Abs. 2 und Art. 106 Abs. 2 BGG ; vgl. Erwägung 2) ist daher auf die Beschwerde einzutreten.</w:t>
      </w:r>
    </w:p>
    <w:p>
      <w:r>
        <w:rPr>
          <w:b/>
        </w:rPr>
        <w:t>E. 1.4</w:t>
      </w:r>
    </w:p>
    <w:p>
      <w:r>
        <w:t>Da auf die Beschwerde in Zivilsachen eingetreten wird, bleibt für die von der Beschwerdeführerin (sicherheitshalber) erhobene subsidiäre Verfassungsbeschwerde kein Raum. Darauf ist nicht einzutreten ( Art. 113 BGG ).</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3.1</w:t>
      </w:r>
    </w:p>
    <w:p>
      <w:r>
        <w:t>Die Beschwerdeführerin wiederholt vorab ihre Rüge, dass die Beschwerdegegnerin im Zusammenhang mit dem pro rata Anteil des 13. Monatslohns die von ihr geltend gemachten Verrechnungsforderungen nicht bestritten habe. Die rein pauschale Bestreitung der Beschwerdegegnerin würde entgegen der Vorinstanz nicht ausreichen. Es wäre eine klare Äusserung der Beschwerdegegnerin erforderlich gewesen, wonach diese die geltend gemachten Gegenforderungen der Beschwerdeführerin bestreite. Die Vorinstanz habe damit Art. 150 Abs. 1 ZPO verletzt.</w:t>
      </w:r>
    </w:p>
    <w:p>
      <w:r>
        <w:t>Bereits die Vorinstanz ging auf diese Rüge der Beschwerdeführerin ein und verwarf sie zu Recht. Richtig ist zwar, dass pauschale Bestreitungen nicht ausreichen. Die Bestreitung muss so konkret sein, dass die Gegenpartei weiss, welche einzelne Tatsachenbehauptung sie beweisen muss. Dabei beeinflusst der Grad der Substanziierung einer Behauptung den erforderlichen Grad an Substanziierung einer Bestreitung: Je detaillierter einzelne Tatsachen eines gesamten Sachverhalts behauptet werden, desto konkreter muss die Gegenpartei erklären, welche dieser einzelnen Tatsachen sie bestreitet. Erforderlich ist eine klare Äusserung, dass der Wahrheitsgehalt einer bestimmten und konkreten gegnerischen Behauptung infrage gestellt wird ( BGE 141 III 433 E. 2.6 mit Hinweisen).</w:t>
      </w:r>
    </w:p>
    <w:p>
      <w:r>
        <w:t>Im vorliegenden Fall machte die Beschwerdeführerin erstinstanzlich keine detaillierten Behauptungen zu ihren Verrechnungsforderungen, welche die Beschwerdegegnerin substanziiert zu bestreiten gehabt hätte. Im Gegenteil: Nach den unbestrittenen Feststellungen der Vorinstanz (Erwägung 2.2) brachte die Beschwerdeführerin im erstinstanzlichen Verfahren in der Klageantwort bloss in einem Satz vor, dass ihr aufgrund des Verhaltens der Beschwerdegegnerin "ein erheblicher Schaden in Form von vorprozessualen Anwaltskosten im Betrag von mindestens CHF 3'231.00 sowie anderen Aufwänden im Betrag von mindestens CHF 2'000.00 entstanden" seien. Vor dem Hintergrund dieser pauschal gehaltenen Behauptung schloss die Vorinstanz unter den vorliegenden Umständen des konkreten Einzelfalls zu Recht, dass die Beschwerdegegnerin diese Vorbringen hinreichend bestritten hat, als sie an der Hauptverhandlung ebenfalls pauschal erwiderte, dass sie die Ausführungen der Beschwerdegegnerin bestreite. Bezeichnenderweise bildeten die Höhe, Bestand und Fälligkeit der angeblichen Verrechnungsforderungen Gegenstand der erstinstanzlichen Beweisverfügung vom 30. März 2021, gegen welche die Beschwerdeführerin im Übrigen an der Hauptverhandlung keine Einwände vorbrachte. Dass die Beschwerdeführerin in der Folge die bestrittenen Behauptungen hinreichend substanziiert hätte, macht sie zu Recht nicht geltend. Eine Verletzung von Art. 150 ZPO liegt nicht vor.</w:t>
      </w:r>
    </w:p>
    <w:p>
      <w:r>
        <w:rPr>
          <w:b/>
        </w:rPr>
        <w:t>E. 3.2</w:t>
      </w:r>
    </w:p>
    <w:p>
      <w:r>
        <w:t>Die Vorinstanz schützte auch den Entscheid der Erstinstanz bezüglich dem Arbeitszeugnis. Sie bestätigte die erstinstanzliche Erwägung, wonach die Beschwerdegegnerin keinen unzulässigen Druck ausübte, als diese die gerichtliche Durchsetzung des vom Gesetz vorgesehenen Zeugnisanspruchs in Aussicht stellte. Auch sonst sei nicht ersichtlich, wie die Beschwerdegegnerin als Büroangestellte ihren "sehr selbstbewussten Chef" diesbezüglich hätte unter Druck setzen können. Im Weiteren trat die Vorinstanz auf die Ausführungen der Beschwerdeführerin nicht ein, da sie sich mit den erstinstanzlichen Erwägungen bezüglich dem Arbeitszeugnis nicht (hinreichend) auseinander gesetzt habe und damit den Begründungsanforderungen an eine Berufung nicht genüge.</w:t>
      </w:r>
    </w:p>
    <w:p>
      <w:r>
        <w:t>Dagegen schildert die Beschwerdeführerin vor Bundesgericht hauptsächlich, wie das Arbeitszeugnis zu formulieren wäre und erklärt, dass die Vorinstanz Art. 8 ZGB und Art. 330a OR verletzt habe. Sie setzt sich damit aber nicht hinreichend mit den Erwägungen der Vorinstanz auseinander, noch zeigt sie diesbezüglich rechtsgenüglich auf, inwiefern der Vorinstanz eine Bundesrechtsverletzung vorzuwerfen wäre. Insbesondere legt sie nicht hinreichend dar (Erwägung 2.1), dass sie entgegen der Auffassung der Vorinstanz die Begründungsanforderungen in ihrer Berufungsschrift erfüllt oder die Vorinstanz die Begründungsanforderungen bundesrechtswidrig überspannt hätte. Darauf ist nicht einzutreten.</w:t>
      </w:r>
    </w:p>
    <w:p>
      <w:r>
        <w:rPr>
          <w:b/>
        </w:rPr>
        <w:t>E. 3.3</w:t>
      </w:r>
    </w:p>
    <w:p>
      <w:r>
        <w:t>Bezüglich der Entschädigung nach Gleichstellungsgesetz prüfte die Vorinstanz ausführlichst die von der Beschwerdeführerin vorgebrachten Rügen gegen den erstinstanzlichen Entscheid. Die Vorinstanz kam zum Schluss, dass der Erstinstanz keine fehlerhafte Beweiswürdigung vorgeworfen werden könne. Am Vorliegen der behaupteten sexuellen Belästigung bestünden keine ernsthaften Zweifel.</w:t>
      </w:r>
    </w:p>
    <w:p>
      <w:r>
        <w:t>Dagegen wiederholt die Beschwerdeführerin ihre bereits vor der Vorinstanz vorgetragenen Rügen, dass Art. 152 Abs. 2 ZPO , Art. 8 ZGB und Art. 29 Abs. 2 BV verletzt worden seien, weil die Erstinstanz zu Unrecht acht von ihr angerufene Zeugen nicht angehört habe.</w:t>
      </w:r>
    </w:p>
    <w:p>
      <w:r>
        <w:t>Bereits die Vorinstanz legte der Beschwerdeführerin zutreffend dar, unter welchen Voraussetzungen eine antizipierte Beweiswürdigung zulässig sei und aus welchen Gründen die Erstinstanz nach einer umfangreichen Einvernahme von 18 Zeugen unter den gegebenen Umständen auf die Befragung der weiteren Personen habe verzichten können. Eine derartige antizipierte Beweiswürdigung kann vor Bundesgericht nur in Frage gestellt werden, wenn in dem strengen Rügeprinzip ( Art. 106 Abs. 2 BGG ) genügender Art und Weise dargetan wird, dass die Vorinstanz dadurch in Willkür verfallen ist ( BGE 146 III 73 E. 5.2.2 mit Hinweisen). Diesen Anforderungen genügt die Beschwerdeführerin nicht. Sie kritisiert zwar die Erwägungen der Vorinstanz und bezeichnet die Ausführungen als willkürlich und als "reine Spekulation". Sie zeigt aber nicht hinreichend auf, inwiefern es geradezu offensichtlich unrichtig sein soll, wenn im vorliegenden Fall auf die Einvernahme der weiteren Zeugen verzichtet wurde.</w:t>
      </w:r>
    </w:p>
    <w:p>
      <w:r>
        <w:rPr>
          <w:b/>
        </w:rPr>
        <w:t>E. 3.4</w:t>
      </w:r>
    </w:p>
    <w:p>
      <w:r>
        <w:t>Die Beschwerdeführerin verlangt schliesslich die Bezahlung einer Parteientschädigung für das kantonale Verfahren. Sie begründet dies aber einzig hinreichend für den Fall der Gutheissung ihrer Beschwerde. Da die Beschwerde nach dem Ausgeführten nicht gutgeheissen werden kann, erübrigt sich auch eine andere Verlegung der kantonalen Parteientschädigung.</w:t>
      </w:r>
    </w:p>
    <w:p>
      <w:r>
        <w:rPr>
          <w:b/>
        </w:rPr>
        <w:t>E. 4</w:t>
      </w:r>
    </w:p>
    <w:p>
      <w:r>
        <w:t>Nach dem Ausgeführten ist die Beschwerde abzuweisen, soweit darauf überhaupt eingetreten werden kann.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