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4A_381/2021 vom 26. August 2021</w:t>
      </w:r>
    </w:p>
    <w:p>
      <w:r>
        <w:t>Bundesgericht, 2021-08-26, DE</w:t>
      </w:r>
    </w:p>
    <w:p>
      <w:r>
        <w:rPr>
          <w:b/>
        </w:rPr>
        <w:t xml:space="preserve">Quelle: </w:t>
      </w:r>
      <w:r>
        <w:t>https://mcp.opencaselaw.ch/entscheid/bger_4A_381_2021</w:t>
      </w:r>
    </w:p>
    <w:p>
      <w:r>
        <w:t>FR: TF 4A_381/2021 du 26 août 2021</w:t>
      </w:r>
    </w:p>
    <w:p>
      <w:r>
        <w:t>IT: TF 4A_381/2021 del 26 agosto 2021</w:t>
      </w:r>
    </w:p>
    <w:p>
      <w:pPr>
        <w:pStyle w:val="Heading2"/>
      </w:pPr>
      <w:r>
        <w:t>Erwägungen</w:t>
      </w:r>
    </w:p>
    <w:p>
      <w:r>
        <w:rPr>
          <w:b/>
        </w:rPr>
        <w:t>E. 1</w:t>
      </w:r>
    </w:p>
    <w:p>
      <w:r>
        <w:t>Mit Urteil vom 4. August 2020 hiess der Einzelrichter am Kantonsgericht Appenzell Ausserrhoden eine vom Beschwerdeführer gegen die Beschwerdegegner eingereichte Klage bezüglich einer Forderung aus Mietrecht teilweise gut. Das Urteil wurde vom damaligen Rechtsvertreter des Beschwerdeführers am 8. August 2020 in Empfang genommen. Ein Rechtsmittel wurde nicht ergriffen.</w:t>
      </w:r>
    </w:p>
    <w:p>
      <w:r>
        <w:t>Am 20. Mai 2021 wandte sich der Beschwerdeführer an das Obergericht des Kantons Appenzell Ausserrhoden und ersuchte um Wiederherstellung der Rechtsmittelfrist bezüglich des kantonsgerichtlichen Urteils vom 4. August 2020. Mit Verfügung vom 14. Juni 2021 wies der Einzelrichter am Obergericht das Gesuch um Wiederherstellung der Berufungsfrist ab.</w:t>
      </w:r>
    </w:p>
    <w:p>
      <w:r>
        <w:t>Mit Eingabe vom 15. Juli 2021 erklärte der Beschwerdeführer dem Bundesgericht, gegen die Verfügung des Obergerichts des Kantons Appenzell Ausserrhoden vom 14. Juni 2021 (zugestellt am 17. Juni 2021) Beschwerde zu erheben und beantragte gleichzeitig eine Fristverlängerung zur Begründung derselben während des laufenden Monats.</w:t>
      </w:r>
    </w:p>
    <w:p>
      <w:r>
        <w:t>Mit Schreiben vom 20. Juli 2021 teilte das Bundesgericht dem Beschwerdeführer mit, es handle sich bei der 30-tägigen Beschwerdefrist ( Art. 100 Abs. 1 BGG ) um eine gesetzlich bestimmte Frist im Sinne von Art. 47 Abs. 1 BGG , die nicht erstreckt werden könne. Zudem wies es den Beschwerdeführer darauf hin, dass die Frist nach Art. 46 Abs. 1 lit. b BGG vom 15. Juli bis und mit dem 15. August stillstehe, weshalb sein Ersuchen um Erstreckung der Frist zur Begründung der Beschwerde bis Ende Juli 2021 als gegenstandslos zu betrachten sei. Gleichzeitig wurde der Beschwerdeführer auf die gesetzlichen Begründungsanforderungen ( Art. 42 und Art. 106 BGG ) aufmerksam gemacht.</w:t>
      </w:r>
    </w:p>
    <w:p>
      <w:r>
        <w:t>In der Folge ging keine weitere Eingabe des Beschwerdeführers ein.</w:t>
      </w:r>
    </w:p>
    <w:p>
      <w:r>
        <w:t>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Der Beschwerdeführer setzt sich in seiner Beschwerdeeingabe vom 15. Juli 2021 nicht hinreichend mit den Erwägungen des angefochtenen Entscheids des Obergerichts des Kantons Appenzell Ausserrhoden vom 14. Juni 2021 auseinander und zeigt nicht auf, inwiefern die Vorinstanz mit ihrem Entscheid Bundesrecht verletzt hätte. Die Eingabe erfüllt damit die erwähnten Begründungsanforderungen offensichtlich nicht.</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Den Beschwerdegegnern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