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381/2011 vom 24. Oktober 2011</w:t>
      </w:r>
    </w:p>
    <w:p>
      <w:r>
        <w:t>Bundesgericht, 2011-10-24, FR</w:t>
      </w:r>
    </w:p>
    <w:p>
      <w:r>
        <w:rPr>
          <w:b/>
        </w:rPr>
        <w:t xml:space="preserve">Quelle: </w:t>
      </w:r>
      <w:r>
        <w:t>https://mcp.opencaselaw.ch/entscheid/bger_4A_381_2011</w:t>
      </w:r>
    </w:p>
    <w:p>
      <w:r>
        <w:t>FR: TF 4A 381/2011 du 24 octobre 2011</w:t>
      </w:r>
    </w:p>
    <w:p>
      <w:r>
        <w:t>IT: TF 4A 381/2011 del 24 ottobre 2011</w:t>
      </w:r>
    </w:p>
    <w:p>
      <w:pPr>
        <w:pStyle w:val="Heading2"/>
      </w:pPr>
      <w:r>
        <w:t>Regeste</w:t>
      </w:r>
    </w:p>
    <w:p>
      <w:r>
        <w:t>contrat de travail; résiliation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 art. 100 al. 1 LTF ) et il satisfait aux exigences légales (art. 42 al. 1 à 3 LTF).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135 III 397 consid. 1.4 p. 400;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les allégations de fait et les moyens de preuve nouveaux sont en principe irrecevables ( art. 99 al. 1 LTF ). Le tribunal peut compléter ou rectifier même d'office les constatations de fait qui se révèlent manifestement inexactes, c'est-à-dire arbitraires aux termes de l' art. 9 Cst. ( ATF 137 I 58 consid. 4.1.2 p. 62;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Il est constant que les parties se sont liées par un contrat de travail et que celui-ci était conclu pour une durée indéterminée. Ledit contrat était donc susceptible d'une résiliation ordinaire avec observation d'un délai de congé, selon l' art. 335c CO . La demanderesse tient la résiliation que l'autre partie lui a signifiée le 25 novembre 2008 pour abusive et elle revendique une indemnité de ce chef, sur la base de l' art. 336a al. 1 et 2 CO , au montant de 66'930 francs. A raison des mêmes faits, la demanderesse se dit victime d'un harcèlement psychologique et elle prétend à une indemnité supplémentaire de 5'000 fr. sur la base des art. 49 al. 1 et 328 al. 1 CO.</w:t>
      </w:r>
    </w:p>
    <w:p>
      <w:r>
        <w:rPr>
          <w:b/>
        </w:rPr>
        <w:t>E. 3</w:t>
      </w:r>
    </w:p>
    <w:p>
      <w:r>
        <w:t>La résiliation ordinaire du contrat de travail est abusive lorsqu'elle intervient dans l'une des situations énumérées à l' art. 336 al. 1 CO , situations qui se rapportent aux motifs de la partie qui résilie. Cette disposition restreint, pour chaque cocontractant, le droit de mettre unilatéralement fin au contrat ( ATF 132 III 115 consid. 2.4 p. 118; 131 III 535 consid. 4.2 p. 539 in medio). L'énumération de l' art. 336 al. 1 CO n'est d'ailleurs pas exhaustive et un abus du droit de résiliation peut se révéler aussi dans d'autres situations qui apparaissent comparables, par leur gravité, aux hypothèses expressément visées ATF 132 III 115 consid. 2 p. 116; 131 III 535 consid. 4 p. 537). La résiliation est éventuellement abusive si elle est motivée par une baisse des prestations du travailleur et que celle-ci est la conséquence d'un harcèlement psychologique, car l'employeur qui tolère le harcèlement viole les devoirs imposés par l' art. 328 CO et il n'est pas admis à se prévaloir, pour justifier la résiliation, des conséquences de sa propre violation du contrat ( ATF 125 III 70 consid. 2a p. 72/73). Selon l' art. 336 al. 1 let . d CO, le congé est abusif, parmi d'autres cas, s'il est donné parce que l'autre partie fait valoir de bonne foi des prétentions résultant du contrat de travail. Lorsque l'une des parties a résilié abusivement le contrat, l' art. 336a al. 1 et 2 CO autorise l'autre partie à réclamer une indemnité dont le juge fixe librement le montant en tenant compte de toutes les circonstances; cette indemnité ne peut toutefois pas excéder l'équivalent de six mois de salaire.</w:t>
      </w:r>
    </w:p>
    <w:p>
      <w:r>
        <w:rPr>
          <w:b/>
        </w:rPr>
        <w:t>E. 4</w:t>
      </w:r>
    </w:p>
    <w:p>
      <w:r>
        <w:t>L' art. 328 al. 1 CO impose à l'employeur de protéger et respecter la personnalité du travailleur. Le harcèlement psychologique, ou mobbing, est une violation de cette obligation; il se définit comme un enchaînement de propos 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harcèlement que celui-ci est généralement difficile à prouver, si bien qu'il faut éventuellement admettre son existence sur la base d'un faisceau d'indices convergents. Il faut cependant aussi garder à l'esprit que le harcèlement peut n'être qu'imaginaire, sinon même être allégué abusivement pour tenter de se protéger contre des remarques ou mesures pourtant justifiées (arrêts 4A_128/2007 du 9 juillet 2007, consid. 2.1; 4C.404/2005 du 10 mars 2006, consid. 3.2). Le travailleur victime de harcèlement peut réclamer à l'employeur une indemnité de réparation morale sur la base de l' art. 49 al. 1 CO , lorsque la gravité de l'atteinte à sa personnalité le justifie; cela suppose, d'un point de vue objectif, que le travailleur ait subi une humiliation particulièrement sévère ( ATF 125 III 70 consid. 3a p. 74/75; voir aussi ATF 130 III 699 consid. 5.1 p. 704).</w:t>
      </w:r>
    </w:p>
    <w:p>
      <w:r>
        <w:rPr>
          <w:b/>
        </w:rPr>
        <w:t>E. 5</w:t>
      </w:r>
    </w:p>
    <w:p>
      <w:r>
        <w:t>A l'appui de ses prétentions, la demanderesse développe en fait et en droit la thèse ci-après: Selon les termes du contrat de travail, la demanderesse devait jouir de « la plus grande autonomie » dans l'exécution de ses tâches, et cela impliquait, à son avis, le droit de communiquer directement et sans contrôle avec les clients concernés, et de signer seule, sans restrictions, les documents à établir. Or, elle affirme qu'elle n'a jamais pu correspondre avec les clients que par l'entremise ou sous le contrôle de l'un des administrateurs, et que ceux-ci ont maintenu une surveillance incessante des dossiers gérés par elle. Parce qu'elle persistait à revendiquer l'autonomie contractuellement due, un harcèlement psychologique s'est exercé contre elle et les relations au sein de l'entreprise, d'abord harmonieuses, se sont effectivement dégradées; selon l'adverse partie, c'est ce qui a motivé le licenciement. Le contrat contenait une clause de prohibition de concurrence en faveur de l'employeuse, destinée à s'appliquer après la fin des rapports de travail. Une clause identique se trouvait dans le contrat de travail d'un autre des collaborateurs de la défenderesse, et, devant les tribunaux, ladite clause s'est révélée nulle, de sorte que celle liant la demanderesse l'était aussi. A défaut de cette protection juridique, l'employeuse se trouvait désormais exposée au risque que ses collaborateurs entreprennent ultérieurement des activités concurrentes en captant sa propre clientèle, et c'est pour parer à ce risque qu'elle a obstinément refusé à la demanderesse l'autonomie contractuellement promise. Cette violation du contrat, le harcèlement psychologique qui y était lié et la dégradation générale du climat de travail sont survenus dans un contexte où l'employeuse montrait une incapacité constante à offrir un cadre satisfaisant à son personnel. La direction n'était pas à l'écoute ni disponible pour ses employés, et elle ne les soutenait pas dans l'accomplissement de leurs tâches. La défenderesse a fallacieusement argué de difficultés relationnelles pour motiver le licenciement, alors que ces difficultés avaient leur origine dans le « dysfonctionnement latent » de la direction et que le vrai motif du congé se trouvait dans la volonté opiniâtre de la demanderesse d'obtenir l'autonomie qui lui était due selon le contrat. Le congé est donc abusif, au regard de l' art. 336 al. 1 let . d CO et aussi en raison du harcèlement qui a effectivement entraîné la demanderesse dans des difficultés relationnelles.</w:t>
      </w:r>
    </w:p>
    <w:p>
      <w:r>
        <w:rPr>
          <w:b/>
        </w:rPr>
        <w:t>E. 6</w:t>
      </w:r>
    </w:p>
    <w:p>
      <w:r>
        <w:t>La promesse de « la plus grande autonomie », telle qu'exprimée dans le contrat conclu entre les parties, était propre à éveiller de grandes espérances auprès d'une collaboratrice désireuse de faire ses preuves et de s'imposer dans la profession de conseiller en propriété intellectuelle. Néanmoins, eu égard au principe de la confiance qui régit l'interprétation des manifestations de volonté entre cocontractants (cf. ATF 135 III 410 consid. 3.2 p. 412; 133 III 675 consid. 3.3 p. 681), ce libellé de la convention n'autorisait pas la demanderesse à exiger la liberté de communiquer directement et sans contrôle avec les clients de l'employeuse, et de signer seule, sans restrictions, les documents établis par elle. Savoir si l'employée était, ou non, liée par une clause de prohibition de concurrence n'y change rien. Un travailleur est subordonné à son employeur - la subordination est caractéristique du contrat de travail ( ATF 112 II 41 consid. 1a/aa in fine, consid. 1a/bb p. 46; 134 III 102 consid. 3.1.2 p. 106/107; 130 III 213 consid. 2.1 p. 216) - et il n'est pas en droit de faire prévaloir, en cas de divergence d'opinions, sa propre vision de l'organisation à adopter dans l'entreprise. La demanderesse doit donc s'en prendre à elle-même en tant que par sa critique persistante des modalités qui lui étaient imposées et par l'insatisfaction qu'elle manifestait, elle a provoqué une altération du climat de travail et compromis son intégration au sein du cabinet de conseil. Après que la demanderesse se fut plainte du comportement prétendument humiliant de l'un de ses supérieurs, la défenderesse a pris des mesures d'organisation adéquates et, semble-t-il, efficaces pour rétablir la situation. Pour le surplus, quoique l'employeuse n'ait pas accédé aux demandes de sa collaboratrice, l'argumentation présentée ne signale aucun indice sérieux d'un comportement hostile, délibéré et prolongé, que cette dernière aurait subi au cours de son emploi. Il convient de souligner que le juge de la résiliation du contrat de travail n'a pas pour mission d'évaluer globalement la qualité de l'encadrement, du soutien et des relations hiérarchiques dans l'entreprise; la demanderesse insiste donc inutilement sur son opinion très défavorable desdites relations à l'intérieur du cabinet de conseil. La thèse ainsi soumise au Tribunal fédéral est inapte à mettre en évidence un harcèlement psychologique et un abus du droit de résilier le contrat de travail. En conséquence, il n'est pas nécessaire d'examiner si la Chambre des prud'hommes est tombée dans l'arbitraire, selon l'argumentation présentée, en ne constatant pas les faits conformément aux allégations de la demanderesse, car le refus des indemnités litigieuses se révèle de toute manière conforme aux art. 49 al. 1 et 336a al. 1 et 2 CO.</w:t>
      </w:r>
    </w:p>
    <w:p>
      <w:r>
        <w:rPr>
          <w:b/>
        </w:rPr>
        <w:t>E. 7</w:t>
      </w:r>
    </w:p>
    <w:p>
      <w:r>
        <w:t>Le recours se révèle privé de fondement, ce qui conduit à son rejet.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