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380/2010 vom 16. November 2010</w:t>
      </w:r>
    </w:p>
    <w:p>
      <w:r>
        <w:t>Bundesgericht, 2010-11-16, FR</w:t>
      </w:r>
    </w:p>
    <w:p>
      <w:r>
        <w:rPr>
          <w:b/>
        </w:rPr>
        <w:t xml:space="preserve">Quelle: </w:t>
      </w:r>
      <w:r>
        <w:t>https://mcp.opencaselaw.ch/entscheid/bger_4A_380_2010</w:t>
      </w:r>
    </w:p>
    <w:p>
      <w:r>
        <w:t>FR: TF 4A 380/2010 du 16 novembre 2010</w:t>
      </w:r>
    </w:p>
    <w:p>
      <w:r>
        <w:t>IT: TF 4A 380/2010 del 16 novembre 2010</w:t>
      </w:r>
    </w:p>
    <w:p>
      <w:pPr>
        <w:pStyle w:val="Heading2"/>
      </w:pPr>
      <w:r>
        <w:t>Regeste</w:t>
      </w:r>
    </w:p>
    <w:p>
      <w:r>
        <w:t>contrat de gestion de fortune | Droit des contrats</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étant un recours en réforme ( art. 107 al. 2 LTF ), le recourant doit en principe prendre des conclusions sur le fond; on admet cependant qu'il en soit dispensé et que des conclusions cassatoires suffisent lorsque le Tribunal fédéral, s'il admettait le recours, ne serait pas en mesure de statuer lui-même sur le fond ( ATF 134 III 379 consid. 1.3 p. 383 et l'arrêt cité). Tel est le cas en l'espèce, puisque, s'il admettait la responsabilité contractuelle de la banque, le Tribunal fédéral ne pourrait allouer des dommages-intérêts étant donné que la cour cantonale n'a pas administré de preuves et ne s'est pas prononcée sur l'existence et la quotité du dommage. Les conclusions cassatoires du recourant sont donc exceptionnellement admissibles.</w:t>
      </w:r>
    </w:p>
    <w:p>
      <w:r>
        <w:rPr>
          <w:b/>
        </w:rPr>
        <w:t>E. 1.3</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D'après la jurisprudence du Tribunal fédéral, il sied de distinguer en matières d'opérations boursières, s'agissant du devoir contractuel de diligence et de fidélité de la banque envers son client, entre trois relations contractuelles différentes: la gestion de fortune, le conseil en placements et la relation compte/dépôt ( ATF 133 III 97 consid. 7.1 p. 102). Il n'est pas contesté qu'en l'espèce les parties ont conclu un mandat de gestion pour la période en litige. Les règles du mandat sont applicables au contrat de gestion de fortune ( ATF 132 III 460 consid. 4.1 p. 464 et les arrêts cités). Les personnes qui s'occupent à titre professionnel de gestion de patrimoine, à l'instar du gestionnaire de fortune, ont un devoir particulier d'information envers leurs clients, qui trouve sa source dans la bonne et fidèle exécution du mandat requise par l' art. 398 al. 2 CO . Le client doit ainsi être renseigné sur les risques des investissements qu'il envisage, conseillé au besoin de manière appropriée quant aux différentes possibilités de placement et prévenu contre la prise de décisions inconsidérées, cela en fonction du niveau propre de connaissances du client et de la nature des placements entrant en considération. Il incombe ainsi au mandataire de s'informer, en questionnant son client, sur le niveau de connaissances de ce dernier et sur sa tolérance au risque ( ATF 124 III 155 consid. 3a p. 162/163 et les nombreuses références doctrinales). Les obligations du mandataire sont d'autant plus strictes lorsqu'il s'agit d'affaires à option ou d'opérations à terme, lesquelles sont, selon l'expérience, hautement spéculatives et en conséquence risquées ( ATF 124 III 155 consid. 3a p. 163).</w:t>
      </w:r>
    </w:p>
    <w:p>
      <w:r>
        <w:rPr>
          <w:b/>
        </w:rPr>
        <w:t>E. 2.2</w:t>
      </w:r>
    </w:p>
    <w:p>
      <w:r>
        <w:t>Dans le cas présent, il résulte des constatations cantonales - qui lient le Tribunal fédéral (art. 105 al. LTF) - que la banque, dès que la nécessité de connaître le profil du client lui est apparue, s'est efforcée de déterminer sa surface financière et son aptitude aux risques, que l'intimée a pris le temps d'expliquer au recourant les opérations effectuées et que ce dernier a signé par deux fois des biens-trouvés, à savoir les 8 janvier et 5 octobre 2001, qui montraient clairement que le pourcentage des actions de son portefeuille avait été fortement augmenté par rapport au passé. Le recourant ne reproche pas à l'intimée d'avoir mal exécuté les quelques ordres boursiers qu'il lui a donnés, de lui avoir fourni des renseignements faux ou des conseils téméraires, ou de s'être livrée à des opérations déraisonnables ou non conformes aux usages bancaires en matière de gestion de fortune. Que les titres aient été d'emblée mal choisis ne ressort d'ailleurs pas des constatations cantonales. Invoquant exclusivement la période du mandat de gestion, le recourant tance la banque pour s'être écartée des instructions reçues en augmentant de manière agressive le pourcentage des actions en portefeuille. Mais le recourant admet qu'il n'avait pas interdit le placement en actions, lequel relève de la pratique bancaire ordinaire. Il reconnaît également qu'il n'avait pas fixé un pourcentage maximum d'actions. Il est certes constant qu'il avait parlé, au début de la relation contractuelle, de préserver le capital, ce qui constitue du reste, pour la gestion d'un portefeuille, une instruction extrêmement vague. A partir de là, le recourant ne pouvait pas sérieusement concevoir qu'il allait faire des placements à son profit, mais aux risques de la banque, en ce sens que les gains éventuels devaient lui revenir alors que les pertes éventuelles devaient être assumées par la banque. La cour cantonale a retenu - d'une manière en principe déterminante pour le Tribunal fédéral ( art. 105 al. 1 LTF ) - que le client a ensuite changé d'attitude et souhaité une gestion plus agressive, du type de celle qui a été pratiquée par la banque. Dès lors que la banque s'est conformée aux desiderata du client, il ne saurait être question d'une mauvaise exécution du mandat.</w:t>
      </w:r>
    </w:p>
    <w:p>
      <w:r>
        <w:rPr>
          <w:b/>
        </w:rPr>
        <w:t>E. 2.3</w:t>
      </w:r>
    </w:p>
    <w:p>
      <w:r>
        <w:t>Le recourant ne prétend pas le contraire, mais il tente, pour parvenir à une solution inverse, de modifier l'état de fait retenu par la cour cantonale. Invoquant l' art. 97 al. 1 LTF , il soutient en effet que l'état de fait, sur deux points, a été dressé d'une manière manifestement inexacte. La seule question à résoudre est donc de savoir si, sur les deux points dont il sera question ci-dessous, l'état de fait doit être qualifié d'arbitraire.</w:t>
      </w:r>
    </w:p>
    <w:p>
      <w:r>
        <w:rPr>
          <w:b/>
        </w:rPr>
        <w:t>E. 2.3.1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134 V 53 consid. 4.3; 129 I 8 consid. 2.1 p. 9).</w:t>
      </w:r>
    </w:p>
    <w:p>
      <w:r>
        <w:rPr>
          <w:b/>
        </w:rPr>
        <w:t>E. 2.3.2</w:t>
      </w:r>
    </w:p>
    <w:p>
      <w:r>
        <w:t>Le recourant reproche à la cour cantonale d'avoir retenu qu'il disposait "de connaissances certaines en matière financière", affirmant que ce disant elle a confondu de manière arbitraire la connaissance du monde des affaires et celle des marchés boursiers. Le recourant ne nie pas s'être occupé d'une concession automobile, avoir géré un parking multiplaces et avoir procédé à des opérations immobilières. Il a donc acquis des connaissances suffisantes du monde des affaires pour savoir que l'on ne signe pas un document contractuel (en l'occurrence: des biens-trouvés bancaires) sans l'avoir lu attentivement. On doit aussi en déduire - ce qui est pertinent - que son expérience des affaires lui permettait de comprendre ce que signifiait un pourcentage parmi les vecteurs de placement choisis (i.e. la part des actions dans son portefeuille). Quant à sa connaissance des marchés boursiers, il a été retenu - sans que l'arbitraire ne soit cette fois invoqué à ce propos - que le gestionnaire prenait le temps de lui expliquer les placements effectués, que le recourant suivait lui-même l'évolution des cours sur Internet et que celui-ci avait aussi pris des conseils auprès de membres de sa famille disposant de connaissances en la matière. Il sied ainsi d'admettre, sans arbitraire, que le recourant s'intéressait à son portefeuille de titres, qu'il avait recueilli des informations et qu'il avait donc acquis des connaissances. Le niveau de ses connaissances n'est pas précisé dans l'arrêt et il serait vain d'essayer de le déterminer plus exactement, parce que cette question de fait n'est pas de nature à influer sur le sort du litige ( art. 97 al. 1 LTF ). En effet, en suivant régulièrement l'évolution des cours sur Internet, le recourant s'est nécessairement rendu compte que les actions américaines de sociétés technologiques, en très forte proportion dans son portefeuille, étaient par nature volatiles et qu'il courait un risque certain à les acheter. Cette conscience du risque est le point de fait pertinent, de sorte qu'il n'y a pas lieu de préciser le niveau des connaissances boursières.</w:t>
      </w:r>
    </w:p>
    <w:p>
      <w:r>
        <w:rPr>
          <w:b/>
        </w:rPr>
        <w:t>E. 2.3.3</w:t>
      </w:r>
    </w:p>
    <w:p>
      <w:r>
        <w:t>Le recourant fait grief à l'autorité cantonale d'avoir retenu arbitrairement qu'il avait modifié ses instructions initiales et qu'il avait consenti à une politique de placement plus agressive. Il n'est pas contesté que le recourant a signé, par deux fois, des biens-trouvés qui faisaient apparaître clairement une augmentation massive du pourcentage des actions par rapport aux titres à revenu fixe. On ne peut pas croire que le recourant, rompu aux affaires, ait signé ces documents sans les lire. Et, comme on l'a vu, le recourant devait comprendre la répartition de ses avoirs en bourse et la nature plus volatile des actions par rapport à d'autres formes de placement. La cour cantonale n'a donc pas procédé à une appréciation arbitraire des preuves en retenant que le recourant avait à tout le moins ratifié, en signant les biens-trouvés bancaires - ce qui ne constitue pas une acceptation tacite -, le changement opéré dans la politique de placement de ses fonds. A cela s'ajoute que l'intéressé à lui-même donné des ordres boursiers et pris des renseignements, à chaque fois au sujet d'actions comportant un risque élevé. On peut y voir sérieusement un indice corroboratif quant à la volonté du recourant de privilégier ce type de placement. Procédant à une appréciation des preuves, la Cour de justice est parvenue à la conviction que le recourant, selon sa volonté réelle, approuvait à l'époque la gestion effectuée. Il s'agit d'une pure constatation de fait que le Tribunal fédéral ne peut revoir que dans les limites étroites prévues par l' art. 105 al. 2 LTF . Au vu des éléments qui viennent d'être rappelés, il est exclu de retenir que l'autorité cantonale a arbitrairement apprécié les preuves ou constaté les faits. Dès l'instant où il a approuvé la gestion effectuée, le recourant ne peut pas se plaindre aujourd'hui d'une mauvaise exécution du mandat de gestion de fortune qu'il avait conclu avec l'intimée. Le recours doit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