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37/2024 vom 2. Februar 2024</w:t>
      </w:r>
    </w:p>
    <w:p>
      <w:r>
        <w:t>Bundesgericht, 2024-02-02, DE</w:t>
      </w:r>
    </w:p>
    <w:p>
      <w:r>
        <w:rPr>
          <w:b/>
        </w:rPr>
        <w:t xml:space="preserve">Quelle: </w:t>
      </w:r>
      <w:r>
        <w:t>https://mcp.opencaselaw.ch/entscheid/bger_4A_37_2024</w:t>
      </w:r>
    </w:p>
    <w:p>
      <w:r>
        <w:t>FR: TF 4A 37/2024 du 2 février 2024</w:t>
      </w:r>
    </w:p>
    <w:p>
      <w:r>
        <w:t>IT: TF 4A 37/2024 del 2 febbraio 2024</w:t>
      </w:r>
    </w:p>
    <w:p>
      <w:pPr>
        <w:pStyle w:val="Heading2"/>
      </w:pPr>
      <w:r>
        <w:t>Regeste</w:t>
      </w:r>
    </w:p>
    <w:p>
      <w:r>
        <w:t>Auftrag, | Vertragsrecht</w:t>
      </w:r>
    </w:p>
    <w:p>
      <w:pPr>
        <w:pStyle w:val="Heading2"/>
      </w:pPr>
      <w:r>
        <w:t>Erwägungen</w:t>
      </w:r>
    </w:p>
    <w:p>
      <w:r>
        <w:rPr>
          <w:b/>
        </w:rPr>
        <w:t>E. 1</w:t>
      </w:r>
    </w:p>
    <w:p>
      <w:r>
        <w:t>Mit Verfügung vom 31. Oktober 2023 schrieb das Vermittleramt Lachen ein von der Beschwerdeführerin gegen den Beschwerdegegner eingeleitetes Verfahren infolge Klagerückzugs als erledigt ab. Mit Verfügung vom 22. Dezember 2023 trat das Kantonsgericht Schwyz auf eine von der Beschwerdeführerin gegen die Verfügung des Vermittleramts vom 31. Oktober 2023 erhobene Beschwerde infolge unzureichender Begründung der Rechtsmitteleingabe nicht ein, wies das Gesuch um unentgeltliche Rechtspflege ab, soweit es darauf eintrat und auferlegte der Beschwerdeführerin die Verfahrenskosten. Mit Eingabe vom 16. Januar 2024 erklärte die Beschwerdeführerin dem Bundesgericht, den Entscheid des Kantonsgerichts Schwyz vom 22. Dezember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16. Januar 2024 nicht hinreichend mit den Erwägungen des angefochtenen Entscheids des Kantonsgerichts Schwyz vom 22. Dezember 2023 auseinander und zeigt nicht rechtsgenügend auf, inwiefern die Vorinstanz mit ihrem Nichteintretensentscheid Bundesrecht verletzt hätte, sondern unterbreitet dem Bundesgericht in unzulässiger Weise ihre eigene Sicht der Dinge. 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Die Beschwerdeführerin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