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4A_37/2015 vom 28. April 2015</w:t>
      </w:r>
    </w:p>
    <w:p>
      <w:r>
        <w:t>Bundesgericht, 2015-04-28, FR</w:t>
      </w:r>
    </w:p>
    <w:p>
      <w:r>
        <w:rPr>
          <w:b/>
        </w:rPr>
        <w:t xml:space="preserve">Quelle: </w:t>
      </w:r>
      <w:r>
        <w:t>https://mcp.opencaselaw.ch/entscheid/bger_4A_37_2015</w:t>
      </w:r>
    </w:p>
    <w:p>
      <w:r>
        <w:t>FR: TF 4A_37/2015 du 28 avril 2015</w:t>
      </w:r>
    </w:p>
    <w:p>
      <w:r>
        <w:t>IT: TF 4A_37/2015 del 28 aprile 2015</w:t>
      </w:r>
    </w:p>
    <w:p>
      <w:pPr>
        <w:pStyle w:val="Heading2"/>
      </w:pPr>
      <w:r>
        <w:t>Erwägungen</w:t>
      </w:r>
    </w:p>
    <w:p>
      <w:r>
        <w:rPr>
          <w:b/>
        </w:rPr>
        <w:t>E. 1</w:t>
      </w:r>
    </w:p>
    <w:p>
      <w:r>
        <w:t>Les conditions de recevabilité du recours en matière civile sont en principe satisfaites, notamment à raison de la valeur litigieuse.</w:t>
      </w:r>
    </w:p>
    <w:p>
      <w:r>
        <w:rPr>
          <w:b/>
        </w:rPr>
        <w:t>E. 2</w:t>
      </w:r>
    </w:p>
    <w:p>
      <w:r>
        <w:t>La Cour d'appel a textuellement constaté, dans sa décision, que l'examen clinique du 26 février 2005 a été organisé « en vue de [la vente du cheval] et de la conclusion d'un contrat d'assurance avec la compagnie E.________ ». Contrairement à l'argumentation soumise au Tribunal fédéral, la Cour n'a donc pas arbitrairement omis de constater que l'examen était aussi destiné à la conclusion d'un contrat d'assurance. Le grief tiré de l' art. 97 al. 1 LTF est ainsi privé de fondement. Pour le surplus, les constatations de la Cour d'appel sont seules déterminantes selon l' art. 105 al. 1 LTF ; les allégations divergentes du demandeur ne sont pas prises en considération.</w:t>
      </w:r>
    </w:p>
    <w:p>
      <w:r>
        <w:rPr>
          <w:b/>
        </w:rPr>
        <w:t>E. 3</w:t>
      </w:r>
    </w:p>
    <w:p>
      <w:r>
        <w:t>La Cour d'appel retient que le demandeur a attribué un mandat au défendeur, que celui-ci l'a correctement exécuté et qu'il échappe donc à toute responsabilité. En particulier, le défendeur a correctement examiné le cheval le 26 février 2005. Il ne pouvait pas savoir que la compagnie d'assurance E.________ exigerait la remise de radiographies des jarrets car cela dépendait uniquement d'une option à choisir par le demandeur, lequel aurait facilement pu faire faire ces radiographies avant d'acheter le cheval.</w:t>
      </w:r>
    </w:p>
    <w:p>
      <w:r>
        <w:rPr>
          <w:b/>
        </w:rPr>
        <w:t>E. 4</w:t>
      </w:r>
    </w:p>
    <w:p>
      <w:r>
        <w:t>Le demandeur reproche à la Cour d'appel d'avoir violé le droit fédéral sur deux points. D'une part, les juges cantonaux ont prétendument appliqué à tort les règles du mandat à l'ensemble du rapport juridique liant les parties. Remplir le « verbal d'examen médical pour les solipèdes » destiné à la compagnie d'assurance E.________, sur la base de faits spécifiques résultant d'un examen objectif du cheval Sultan, relevait du contrat d'entreprise; le défendeur s'était obligé à livrer un ouvrage immatériel, soit un questionnaire médical rempli de manière complète. D'autre part, les juges d'appel auraient dû considérer qu'en remettant un questionnaire incomplet au demandeur, le défendeur a livré un ouvrage incomplet et non conforme à celui qui lui avait été commandé (cf. art. 368 CO ). A titre subsidiaire, les règles du mandat supposées pertinentes, le défendeur a manqué au devoir de diligence imposé par l' art. 398 al. 2 CO et il doit réparer selon l' art. 97 CO le dommage qui en est résulté. Le demandeur précise que « la faute [du défendeur] n'est pas d'avoir omis de faire les radios demandées, mais d'avoir omis de poser les questions devant lui permettre de remplir correctement le questionnaire, soit le type de variante et le prix de vente ».</w:t>
      </w:r>
    </w:p>
    <w:p>
      <w:r>
        <w:t>Il est constant que les obligations contractuelles du défendeur consistaient à établir l'état de santé du cheval Sultan et à remplir le « verbal d'examen médical pour les solipèdes » destiné à la compagnie d'assurance E.________. Le demandeur ne conteste pas l'appréciation de la Cour d'appel selon laquelle l'obligation du défendeur d'établir l'état de santé du cheval relevait du mandat, de sorte qu'il n'y a pas lieu d'y revenir. Le demandeur soutient en revanche que l'établissement du questionnaire médical exigé par la compagnie d'assurance relevait du contrat d'entreprise. Dans cette éventualité, le demandeur ne reproche pas au défendeur d'avoir livré un ouvrage défectueux (cf. art. 368 CO ) en ce sens que le questionnaire rempli par le défendeur sur la base de l'examen du cheval contiendrait des constatations erronées. Ce qu'il reproche au défendeur, c'est d'avoir omis de poser au demandeur les questions qui lui auraient permis de remplir correctement le questionnaire - soit le type de variante d'assurance et le prix de vente - et d'y joindre les radiographies des jarrets et des os naviculaires exigées par l'assurance pour les chevaux d'une valeur d'assurance supérieure à 25'000 fr. et assurés en variante C. En d'autres termes, le demandeur reproche au défendeur une violation de son devoir général de diligence.</w:t>
      </w:r>
    </w:p>
    <w:p>
      <w:r>
        <w:t>Le devoir général de diligence de l'entrepreneur découle de l' art. 364 al. 1 CO , lequel fait référence - à l'instar de l' art. 398 al. 1 CO relatif à la responsabilité du mandataire - aux règles du contrat de travail. Selon l' art. 321a al. 1 CO , le travailleur doit exécuter avec soin le travail qui lui est confié et sauvegarder fidèlement les intérêts légitimes de l'employeur. Le devoir de diligence est une expression du devoir de fidélité inhérent au rapport de confiance qui doit exister entre maître et entrepreneur; on en déduit des devoirs de renseignement et de conseil qui reposent sur l'idée que l'entrepreneur, en sa qualité de spécialiste, doit conseiller le maître et lui signaler toute circonstance importante pour l'exécution de l'ouvrage (arrêt 4C.50/2003 du 5 juin 2003, consid. 4.1).</w:t>
      </w:r>
    </w:p>
    <w:p>
      <w:r>
        <w:rPr>
          <w:b/>
        </w:rPr>
        <w:t>E. 5</w:t>
      </w:r>
    </w:p>
    <w:p>
      <w:r>
        <w:t>Le document destiné à la compagnie d'assurance intitulé « verbal d'examen médical pour les solipèdes », rempli par le défendeur, contient la mention suivante: « Pour les chevaux d'une valeur d'assurance supérieure à 25'000 fr. et assurés en variante C, joindre les radiographies des jarrets et des os naviculaires». Il est toutefois établi que le défendeur n'avait connaissance ni du libellé de la proposition d'assurance ni de la valeur d'assurance du cheval, et pas davantage du contenu de la variante C. En outre, la Cour d'appel a retenu que le 26 février 2005, le demandeur ne s'était pas encore décidé sur la variante d'assurance qu'il souhaitait contracter et que lorsqu'il a acheté le cheval le 8 mars 2005, il savait qu'aucune radiographie des jarrets n'avait été effectuée le 26 février 2005 par le défendeur, celui-ci n'étant pas doté de l'équipement nécessaire.</w:t>
      </w:r>
    </w:p>
    <w:p>
      <w:r>
        <w:t>Les juges d'appel relèvent avec raison que si ces radiographies étaient indispensables aux yeux du demandeur, notamment en vue d'assurer le cheval en variante C pour une valeur supérieure à 25'000 fr., il est incompréhensible que l'acheteur ait conclu la vente sans avoir ces pièces à disposition. Il n'est pas établi que le défendeur eût des raisons de penser que le prix de vente et la valeur d'assurance pussent être supérieurs à 25'000 fr. et que le demandeur envisageât d'assurer l'animal en variante C; c'est pourquoi on ne saurait lui faire grief d'avoir violé son devoir général de diligence en ne questionnant pas le demandeur sur ces deux points. Celui-ci en avait seul la maîtrise et il n'était en aucune manière dépendant, à ce sujet, des conseils du défendeur. Il s'ensuit que le recours en matière civile, privé de fondement, doit être rejeté.</w:t>
      </w:r>
    </w:p>
    <w:p>
      <w:r>
        <w:rPr>
          <w:b/>
        </w:rPr>
        <w:t>E. 6</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