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4A_37/2008 vom 12. Juni 2008</w:t>
      </w:r>
    </w:p>
    <w:p>
      <w:r>
        <w:t>Bundesgericht, 2008-06-12, FR</w:t>
      </w:r>
    </w:p>
    <w:p>
      <w:r>
        <w:rPr>
          <w:b/>
        </w:rPr>
        <w:t xml:space="preserve">Quelle: </w:t>
      </w:r>
      <w:r>
        <w:t>https://mcp.opencaselaw.ch/entscheid/bger_4A_37_2008</w:t>
      </w:r>
    </w:p>
    <w:p>
      <w:r>
        <w:t>FR: TF 4A_37/2008 du 12 juin 2008</w:t>
      </w:r>
    </w:p>
    <w:p>
      <w:r>
        <w:t>IT: TF 4A_37/2008 del 12 giugno 2008</w:t>
      </w:r>
    </w:p>
    <w:p>
      <w:pPr>
        <w:pStyle w:val="Heading2"/>
      </w:pPr>
      <w:r>
        <w:t>Erwägungen</w:t>
      </w:r>
    </w:p>
    <w:p>
      <w:r>
        <w:rPr>
          <w:b/>
        </w:rPr>
        <w:t>E. 1</w:t>
      </w:r>
    </w:p>
    <w:p>
      <w:r>
        <w:t>Interjeté par les recourants qui ont succombé dans leurs conclusions ( art. 76 al. 1 LTF ) et dirigé contre une décision finale ( art. 90 LTF ) rendue en matière civile ( art. 72 al. 1 LTF ) par une autorité cantonale de dernière instance ( art. 75 al. 1 LTF ) dans une affaire pécuniaire dont la valeur litigieuse atteint le seuil de 30'000 fr. ( art. 74 al. 1 let. b LTF ), le recours soumis à l'examen du Tribunal fédéral est en principe recevable, puisqu'il a été déposé dans le délai, compte tenu des féries (art. 45 al. 1, 46 al. 1 let. c et 100 al. 1 LTF), et la forme ( art. 42 LTF ) prévus par la loi.</w:t>
      </w:r>
    </w:p>
    <w:p>
      <w:r>
        <w:rPr>
          <w:b/>
        </w:rPr>
        <w:t>E. 2</w:t>
      </w:r>
    </w:p>
    <w:p>
      <w:r>
        <w:t>Le recours en matière civile peut être formé pour violation du droit fédéral ( art. 95 let. a LTF ), y compris les droits constitutionnels ( ATF 133 III 446 consid. 3.1 p. 447, 462 consid. 2.3). Saisi d'un tel recours, le Tribunal fédéral applique le droit d'office ( art. 106 al. 1 LTF ) sur la base des faits établis par l'autorité précédente ( art. 105 al. 1 LTF ), dont il ne peut s'écarter que s'ils ont été établis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n'est lié ni par les moyens invoqués par les parties ni par l'argumentation juridique retenue par la juridiction cantonale; il peut dès lors admettre le recours pour d'autres motifs que ceux invoqués par le recourant, comme il peut le rejeter en opérant une substitution de motifs ( ATF 134 III 102 consid. 1.1 p. 104).</w:t>
      </w:r>
    </w:p>
    <w:p>
      <w:r>
        <w:rPr>
          <w:b/>
        </w:rPr>
        <w:t>E. 3</w:t>
      </w:r>
    </w:p>
    <w:p>
      <w:r>
        <w:t>Les recourants reprochent à la cour cantonale d'avoir violé le droit fédéral en faisant une fausse application de l' art. 20 CO et de la jurisprudence y relative, plus précisément de l'arrêt publié aux ATF 123 III 101 .</w:t>
      </w:r>
    </w:p>
    <w:p>
      <w:r>
        <w:rPr>
          <w:b/>
        </w:rPr>
        <w:t>E. 3.1</w:t>
      </w:r>
    </w:p>
    <w:p>
      <w:r>
        <w:t>Aux termes de l' art. 20 al. 1 CO , le contrat est nul s'il a pour objet une chose impossible, illicite ou contraire aux moeurs. Sont contraires aux moeurs les contrats condamnés par la morale dominante, c'est-à-dire par le sentiment général des convenances ou par les principes et jugements de valeur qu'implique l'ordre juridique considéré dans son ensemble ( ATF 132 III 455 consid. 4.1 p. 458).</w:t>
      </w:r>
    </w:p>
    <w:p>
      <w:r>
        <w:t>Il convient d'examiner ce qu'il en est dans le domaine particulier de l'engagement à verser une indemnité pour le retrait d'une opposition, respectivement d'un recours, en matière de droit de la construction.</w:t>
      </w:r>
    </w:p>
    <w:p>
      <w:r>
        <w:rPr>
          <w:b/>
        </w:rPr>
        <w:t>E. 3.2</w:t>
      </w:r>
    </w:p>
    <w:p>
      <w:r>
        <w:t>Dans une cause civile ayant donné lieu à l' ATF 115 II 232 , le Tribunal fédéral a jugé qu'une convention selon laquelle une indemnité devait être payée en échange du retrait d'une opposition, non dépourvue de chances de succès, à une demande de permis de construire, n'était pas contraire aux moeurs; la partie opposante avait attaqué, conformément aux lois cantonales sur les constructions, le projet de son adverse partie, et son recours n'était pas voué à l'échec; il était propre à sauvegarder des intérêts dignes de protection de la partie opposante; celle-ci pouvait penser, en toute objectivité, qu'elle pouvait faire obstacle au projet de construction qu'elle désapprouvait et provoquer la présentation d'un projet qui lui conviendrait mieux; ces éventualités et ces avantages pouvaient s'apprécier en argent (consid. 2b).</w:t>
      </w:r>
    </w:p>
    <w:p>
      <w:r>
        <w:t>Dans une affaire civile ayant abouti à l' ATF 123 III 101 , qui se distinguait du cas susmentionné en ce sens que, dans son recours de droit administratif, l'opposant n'avait soulevé aucune objection matérielle qui aurait pu lui procurer un avantage pécuniaire par suite de la limitation du projet de construction de son voisin, la Cour de céans a jugé que la renonciation à titre onéreux à un moyen de droit devait être tenue pour contraire aux moeurs lorsqu'elle représentait une commercialisation blâmable de la position juridique de la partie renonçante; dans la mesure où la contrepartie pécuniaire de la renonciation ne se rapportait qu'au préjudice qui pourrait résulter de la prolongation de la procédure, mais non à des intérêts dignes de protection du propriétaire voisin, la commercialisation était immorale; le seul intérêt de l'opposant au retard dans l'exécution d'un projet de construction n'était en effet pas digne de protection et ne pouvait pas, sans contradiction interne, être évalué en argent (consid. 2c).</w:t>
      </w:r>
    </w:p>
    <w:p>
      <w:r>
        <w:t>Enfin, dans une cause pénale ayant donné lieu à l'arrêt 6P.5/2006 du 12 juin 2006, le Tribunal fédéral a considéré qu'il y avait commercialisation immorale de la position de l'opposant qui ne se prévalait de sa vocation pour agir ni pour empêcher la réalisation d'un projet qui léserait ses intérêts, ni pour compenser des "inconvénients de voisin", mais en abusait comme d'un moyen pour se faire verser une prestation en argent; il fallait toutefois être restrictif et n'admettre la contrariété aux moeurs que lorsque les circonstances du cas particulier permettaient d'exclure totalement tout intérêt digne de protection du voisin (consid. 7.2).</w:t>
      </w:r>
    </w:p>
    <w:p>
      <w:r>
        <w:rPr>
          <w:b/>
        </w:rPr>
        <w:t>E. 3.3</w:t>
      </w:r>
    </w:p>
    <w:p>
      <w:r>
        <w:t>Il en résulte que si le projet de construction est manifestement conforme aux règles applicables en la matière et, par conséquent, l'opposition et le recours infondés, la convention est contraire aux moeurs. En effet, la contrepartie pécuniaire ne compense alors rien, puisqu'aucun intérêt digne de protection de l'opposant n'est lésé et, partant, susceptible de donner lieu à indemnisation. La procédure d'opposition, respectivement de recours, est ainsi indûment détournée de son but afin d'obtenir une somme d'argent qui n'est due à aucun titre.</w:t>
      </w:r>
    </w:p>
    <w:p>
      <w:r>
        <w:t>Par contre, si le projet mis à l'enquête contrevient à la réglementation en matière de droit de la construction, ou à tout le moins lorsque la situation est incertaine, l'ouvrage envisagé est susceptible de léser illicitement les intérêts dignes de protection du voisin, dont l'opposition et le recours ne sont pas voués à l'échec. Une compensation par le biais d'une contrepartie équitable, versée par le maître de l'ouvrage, n'est alors pas contraire aux moeurs, pour autant toutefois que l'opposant subisse ou risque de subir un dommage, tenant en général à une perte de valeur de son immeuble due au non-respect, par le projet litigieux, de dispositions en matière de construction. Il faut en effet que l'opposant puisse tirer un avantage de l'issue de la procédure administrative, en ce sens qu'il peut escompter la modification du projet en sa faveur (dans le même sens, cf. arrêt de l'Obergericht zurichois du 7 septembre 2004, reproduit in ZR 104/2005 n. 53 p. 203, consid. 3.1 et 3.2a p. 204 s.; Lustenberger, Die Verzichtsvereinbarung im öffentlichen Bauverfahren, Zurich 2008, n. 93 s. p. 38 s.). Ainsi, la seule diminution de la vue par la construction d'un bâtiment conforme aux règles applicables ne constitue pas un préjudice susceptible de donner lieu à indemnisation, car la renonciation à l'opposition n'est alors pas de nature à influer sur la situation, et le voisin ne peut donc pas monnayer un retrait.</w:t>
      </w:r>
    </w:p>
    <w:p>
      <w:r>
        <w:rPr>
          <w:b/>
        </w:rPr>
        <w:t>E. 3.4</w:t>
      </w:r>
    </w:p>
    <w:p>
      <w:r>
        <w:t>Comme la cour cantonale l'a relevé à juste titre, en présence d'une reconnaissance de dette, il appartient au débiteur qui conteste la dette d'établir quelle est la cause de l'obligation et de démontrer que cette cause n'est pas valable, par exemple parce que le rapport juridique à la base de la reconnaissance est inexistant ou nul ( art. 19 et 20 CO ; ATF 131 III 268 consid. 3.2 p. 273).</w:t>
      </w:r>
    </w:p>
    <w:p>
      <w:r>
        <w:t>Dans le cas particulier de l'engagement à verser une indemnité pour le retrait d'une opposition, respectivement d'un recours, en matière de droit de la construction, le fardeau de la preuve de la conformité du projet, voire de l'absence de préjudice subi par les voisins, appartient au maître de l'ouvrage; les opposants doivent toutefois collaborer à la preuve en indiquant les points sur lesquels ils estiment que le projet est non-conforme aux règles du droit de la construction (cf. Lustenberger, Baueinsprache als Erpressung - Zivilrechtliche Aspekte eines Strafurteils, in Droit de la construction 2006 p. 159 ss, spéc. p. 161). Le fait que le recours à l'autorité administrative ait été rejeté peut constituer un indice de la conformité du projet (cf. arrêt de l'Obergericht zurichois du 7 septembre 2004, reproduit in ZR 104/2005 n. 53 p. 203, consid. 3.2b p. 205; Lustenberger, Die Verzichtsvereinbarung im öffentlichen Bauverfahren, Zurich 2008, n. 98 p. 40). Le juge civil ne peut toutefois pas se dispenser de procéder à son propre examen à titre préjudiciel, ce d'autant plus que la signature d'une convention de transaction a précisément pour effet de stopper la procédure administrative avant qu'elle n'arrive à son terme.</w:t>
      </w:r>
    </w:p>
    <w:p>
      <w:r>
        <w:t>C'est le lieu de rappeler que la transaction est un contrat par lequel les parties terminent un différend ou mettent fin à une incertitude touchant un rapport de droit grâce à des concessions réciproques ( ATF 130 III 49 consid. 1.2 p. 51). Dans les transactions en cours de procès, les parties font ainsi des concessions pour mettre fin au litige en sachant qu'il y a une incertitude sur l'issue de la procédure.</w:t>
      </w:r>
    </w:p>
    <w:p>
      <w:r>
        <w:rPr>
          <w:b/>
        </w:rPr>
        <w:t>E. 3.5</w:t>
      </w:r>
    </w:p>
    <w:p>
      <w:r>
        <w:t>En l'espèce, la question décisive est celle de savoir si le recours de droit administratif déposé par les recourants au Tribunal fédéral avait des chances de succès.</w:t>
      </w:r>
    </w:p>
    <w:p>
      <w:r>
        <w:t>Dans l'affirmative, la convention est clairement valable. En effet, en payant 50'000 fr., l'intimé évitait de prendre le risque de perdre devant le Tribunal fédéral, ce qui aurait entraîné l'annulation de l'autorisation de construire et l'obligation de modifier son projet avec la perte de temps, et d'argent, que cela implique. Dans cette hypothèse, la position des recourants n'était pas abusive, car l'admission du recours aurait impliqué que le projet devait être revu et que son exécution était différée. En retirant leur recours, ils renonçaient à cette chance, mais recevaient en contrepartie une somme de 50'000 francs.</w:t>
      </w:r>
    </w:p>
    <w:p>
      <w:r>
        <w:t>En revanche, en l'absence de chances de succès du recours, l'intimé ne courait pas le risque de devoir modifier et, en conséquence, longuement différer son projet et les recourants n'avaient pas l'espoir de voir la construction modifiée et durablement reportée. Les voisins n'utilisaient pas la voie de recours conformément à sa finalité, c'est-à-dire pour défendre leurs droits, mais uniquement pour gagner du temps, causer ainsi un préjudice illégitime à l'intimé et l'amener à payer pour y échapper. L'indemnité convenue dans de telles conditions était contraire aux moeurs.</w:t>
      </w:r>
    </w:p>
    <w:p>
      <w:r>
        <w:rPr>
          <w:b/>
        </w:rPr>
        <w:t>E. 3.6</w:t>
      </w:r>
    </w:p>
    <w:p>
      <w:r>
        <w:t>En l'occurrence, la cour cantonale n'a rien constaté s'agissant de la conformité du projet litigieux et des chances de succès du recours de droit administratif au Tribunal fédéral. En outre, elle est partie d'une prémisse erronée, dans la mesure où elle a discuté de la moins-value sous l'angle de la seule perte de vue ensuite de l'implantation des villas projetées, ainsi que du prix de vente obtenu par les recourants pour leur immeuble après la construction des villas litigieuses. Or, ces points n'étaient pas nécessairement pertinents. En effet, il importait seulement de savoir si le recours avait des chances de succès et si les recourants, en le retirant, ont abandonné tout espoir d'obtenir la présentation d'un projet de construction modifié en leur faveur, lésant leurs intérêts dans une moindre mesure. Ce n'est que si le recours était dépourvu de chances de succès qu'il était abusif et dilatoire et que l'on peut admettre que les voisins ont agi de manière contraire aux moeurs en monnayant le retrait d'un recours abusif.</w:t>
      </w:r>
    </w:p>
    <w:p>
      <w:r>
        <w:t>L'arrêt entrepris consacre ainsi une violation du droit fédéral, de sorte que le recours doit être admis. En pareille circonstance, le Tribunal fédéral peut statuer lui-même sur le fond ( art. 107 al. 2 LTF ), sur la base des faits établis par l'autorité précédente ( art. 105 al. 1 LTF ). En l'espèce, l'état de fait retenu dans l'arrêt attaqué mentionne que la municipalité a délivré un permis de construire, levant ainsi l'opposition au projet de construction, et que le Tribunal administratif a rejeté le recours formé par les opposants contre cette décision; il ne contient par contre aucune indication relative à la conformité du projet litigieux à la réglementation applicable en matière de droit de la construction, ou au dommage en découlant éventuellement, et ne permet donc pas d'apprécier les chances de succès du recours. La Cour de céans n'est ainsi pas en mesure de trancher elle-même le litige, si bien qu'il y a lieu de renvoyer l'affaire à la cour cantonale pour nouvelle instruction, notamment sur la base des faits allégués par les parties et de ceux résultant de l'expertise, et nouvelle décision dans le sens des considérants ( art. 107 al. 2 LTF ).</w:t>
      </w:r>
    </w:p>
    <w:p>
      <w:r>
        <w:rPr>
          <w:b/>
        </w:rPr>
        <w:t>E. 4</w:t>
      </w:r>
    </w:p>
    <w:p>
      <w:r>
        <w:t>Compte tenu de l'issue du litige, les frais judiciaires et dépens seront mis à la charge de l'intimé,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