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4A_379/2014 vom 10. März 2015</w:t>
      </w:r>
    </w:p>
    <w:p>
      <w:r>
        <w:t>Bundesgericht, 2015-03-10, DE</w:t>
      </w:r>
    </w:p>
    <w:p>
      <w:r>
        <w:rPr>
          <w:b/>
        </w:rPr>
        <w:t xml:space="preserve">Quelle: </w:t>
      </w:r>
      <w:r>
        <w:t>https://mcp.opencaselaw.ch/entscheid/bger_4A_379_2014</w:t>
      </w:r>
    </w:p>
    <w:p>
      <w:r>
        <w:t>FR: TF 4A_379/2014 du 10 mars 2015</w:t>
      </w:r>
    </w:p>
    <w:p>
      <w:r>
        <w:t>IT: TF 4A_379/2014 del 10 marzo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15'000.-- (Art. 51 i.V.m. Art. 74 Abs. 1 lit. a BGG ) und die Beschwerdefrist ist eingehalten ( Art. 100 Abs. 1 BGG ). Auf die Beschwerde ist somit - unter Vorbehalt einer hinreichenden Begründung ( Art. 42 Abs. 2 und Art. 106 Abs. 2 BGG ) -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was in der Beschwerde näher darzulegen ist ( BGE 133 III 393 E. 3 S. 395).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2.2</w:t>
      </w:r>
    </w:p>
    <w:p>
      <w:r>
        <w:t>Diese Grundsätze verkennt die Beschwerdeführerin, wenn sie in ihrer Beschwerde den Sachverhalt frei ergänzt oder abändert, ohne entsprechende Sachverhaltsrügen vorzubringen. So ist die Beschwerdeführerin mit ihrer Rüge nicht zu hören, aus dem Abschluss des Mietvertrages vom 30. Juli 2008 lasse sich eine stillschweigende Erlaubnis von B.________ sel. zur teilweisen Untervermietung ableiten, seien diesem doch im Zeitpunkt des Vertragsschlusses die Untermietbedingungen bekannt gewesen. Denn die Vorinstanz hat festgestellt, die Behauptung der Beschwerdeführerin, sie habe B.________ sel. die Untermietbedingungen offengelegt, sei unbewiesen geblieben; dagegen bringt die Beschwerdeführerin keine Sachverhaltsrüge vor.</w:t>
      </w:r>
    </w:p>
    <w:p>
      <w:r>
        <w:rPr>
          <w:b/>
        </w:rPr>
        <w:t>E. 2.3</w:t>
      </w:r>
    </w:p>
    <w:p>
      <w:r>
        <w:t>Soweit die Beschwerdeführerin geltend macht, sie habe den Beschwerdegegnern die Untermietbedingungen im Verlaufe des pendenten Gerichtsverfahrens bekannt gegeben, so wurde dies von der Vorinstanz nicht festgestellt und die Beschwerdeführerin behauptet nicht, diese Tatsache im vorangegangenen Verfahren vorgebracht zu haben. Diese Behauptung stellt mithin eine neue Tatsache dar ( BGE 136 V 362 E. 3.3.1 S. 364).</w:t>
      </w:r>
    </w:p>
    <w:p>
      <w:r>
        <w:t>Ob die Beschwerdeführerin eine Offenlegung erst nach oder bereits vor Ergehen des angefochtenen Entscheids behauptet, ist unklar. Im ersten Fall würde ein "echtes" Novum vorliegen, das vor Bundesgericht unbeachtlich ist ( BGE 139 III 120 E. 3.1.2 S. 123 mit Hinweis). Im zweiten Fall würde ein "unechtes" Novum vorliegen, das vor Bundesgericht nur soweit vorgebracht werden darf, als der Entscheid der Vorinstanz dazu Anlass gibt ( Art. 99 Abs. 1 BGG ). Dass diese Voraussetzung erfüllt wäre, macht die Beschwerdeführerin nicht geltend und ist auch nicht ersichtlich, hat doch bereits das erstinstanzliche Gericht die Kündigung mit der Begründung geschützt, die Untermietbedingungen seien den Beschwerdegegnern nicht bekannt gegeben worden. Die Behauptung, die Untermietbedingungen seien im Verlaufe des pendenten Gerichtsverfahrens bekannt gegeben worden, ist somit im bundesgerichtlichen Verfahren unbeachtlich.</w:t>
      </w:r>
    </w:p>
    <w:p>
      <w:r>
        <w:rPr>
          <w:b/>
        </w:rPr>
        <w:t>E. 3</w:t>
      </w:r>
    </w:p>
    <w:p>
      <w:r>
        <w:t>Die Beschwerdeführerin rügt, die Vorinstanz habe sich bei ihrer Beurteilung der Gültigkeit der Kündigung zu Unrecht auf Art. 257f Abs. 3 OR gestützt. Die Beschwerdegegner hätten "aus wichtigem Grund" gekündigt und damit zum Ausdruck gebracht, dass sie sich auf Art. 266g Abs. 1 OR stützen würden. Nachdem die Vorinstanzen zum Schluss gekommen seien, die Voraussetzungen für eine ausserordentliche Kündigung aus wichtigen Gründen nach Art. 266g OR seien nicht erfüllt, hätte die Gültigkeit der Kündigung verneint werden müssen. Eine nachträgliche Umwandlung in eine Kündigung nach Art. 257f Abs. 3 OR sei unzulässig.</w:t>
      </w:r>
    </w:p>
    <w:p>
      <w:r>
        <w:rPr>
          <w:b/>
        </w:rPr>
        <w:t>E. 3.1</w:t>
      </w:r>
    </w:p>
    <w:p>
      <w:r>
        <w:t>Aus dem Begriff des Gestaltungsrechts folgt im Allgemeinen ein Umdeutungsausschluss ( BGE 123 III 124 E. 3d S. 128 f.). Dieser reicht indessen nicht weiter als die Gebote der Klarheit, der Unbedingtheit und der Unwiderruflichkeit der Ausübung von Gestaltungsrechten und findet seine Schranken an den Grundsätzen der Rechtsanwendung von Amtes wegen und der unschädlichen Falschbezeichnung analog Art. 18 OR . Wer daher gestützt auf einen klar umschriebenen Sachverhalt eine ausserordentliche Kündigung ausspricht, dem schadet nicht, wenn er - rechtsirrtümlich - als rechtliche Grundlage seiner Gestaltungserklärung eine unrichtige Gesetzesbestimmung anruft, sofern eine Ersatznorm zur Verfügung steht, welche seinen Anspruch stützt ( BGE 135 III 441 E. 3.1 S. 442; 123 III 124 E. 3d S. 129). Die unrichtige rechtliche Qualifikation kann ihm diesfalls nicht entgegengehalten werden, und seine Kündigung ist nach Massgabe der sachlich anwendbaren Norm zu beurteilen.</w:t>
      </w:r>
    </w:p>
    <w:p>
      <w:r>
        <w:rPr>
          <w:b/>
        </w:rPr>
        <w:t>E. 3.2</w:t>
      </w:r>
    </w:p>
    <w:p>
      <w:r>
        <w:t>Die Vorinstanz stützte sich auf diese Rechtsprechung und führte aus, es schade somit nicht, wenn das erstinstanzliche Gericht aufgrund desselben Sachverhalts zum Schluss gelangt sei, es seien spezielle Kündigungsgründe ( Art. 257f Abs. 3 OR ) erfüllt, während die Beschwerdegegner davon ausgegangen seien, die Gesamtheit der Vertragsverletzungen berechtige zu einer Kündigung nach Art. 266g OR .</w:t>
      </w:r>
    </w:p>
    <w:p>
      <w:r>
        <w:rPr>
          <w:b/>
        </w:rPr>
        <w:t>E. 3.3</w:t>
      </w:r>
    </w:p>
    <w:p>
      <w:r>
        <w:t>Dagegen bringt die Beschwerdeführerin vor, Art. 18 OR sei vorliegend auch nicht analog anwendbar. Die rechtskundige Vermieterschaft habe sich bei ihrer ausserordentlichen Kündigung bewusst nicht auf Art. 257f OR , sondern auf Art. 266g OR berufen wollen. Die Voraussetzungen für eine vorzeitige Auflösung des Mietverhältnisses gestützt auf diese Bestimmungen seien nicht identisch. Die Beschwerdegegner seien auf ihrer Wahl, das Mietverhältnis gestützt auf Art. 266g OR aufzulösen, zu behaften. Da sich dieser Kündigungsgrund bei der gerichtlichen Überprüfung als unwirksam erwiesen habe, weil die diesbezüglichen gesetzlichen Voraussetzungen nicht gegeben seien, könne die Kündigung nicht nachträglich umgewandelt werden.</w:t>
      </w:r>
    </w:p>
    <w:p>
      <w:r>
        <w:rPr>
          <w:b/>
        </w:rPr>
        <w:t>E. 3.4</w:t>
      </w:r>
    </w:p>
    <w:p>
      <w:r>
        <w:t>Diese Vorbringen sind unbehelflich. Die Beschwerdegegner haben für die ausserordentliche Kündigung unterschiedliche Gründe angegeben. Wenn die Beschwerdegegner in ihrer Kündigung davon ausgingen, das Verhalten der Beschwerdeführerin falle unter die wichtigen Gründe gemäss Art. 266g OR , sich aber im Verfahren zeigte, dass aufgrund der beanstandeten Verhaltensweisen der Beschwerdeführerin die Voraussetzungen für eine Kündigung nach der lex specialis des Art. 257f Abs. 3 OR erfüllt waren, führt dies nach der dargelegten bundesgerichtlichen Rechtsprechung nicht zur Ungültigkeit der Kündigung (vgl. auch Urteil des Bundesgerichts 4C.223/2006 vom 7. September 2006 E. 2.3). Die Vorinstanz hat somit kein Bundesrecht verletzt, indem sie die Gültigkeit der Kündigung nach Verneinung der Voraussetzungen von Art. 266g OR unter dem Gesichtspunkt von Art. 257f Abs. 3 OR geprüft hat.</w:t>
      </w:r>
    </w:p>
    <w:p>
      <w:r>
        <w:rPr>
          <w:b/>
        </w:rPr>
        <w:t>E. 4</w:t>
      </w:r>
    </w:p>
    <w:p>
      <w:r>
        <w:t>Die Beschwerdeführerin rügt weiter, die Voraussetzungen für eine Kündigung nach Art. 257f Abs. 3 OR seien entgegen der Ansicht der Vorinstanz nicht erfüllt.</w:t>
      </w:r>
    </w:p>
    <w:p>
      <w:r>
        <w:rPr>
          <w:b/>
        </w:rPr>
        <w:t>E. 4.1</w:t>
      </w:r>
    </w:p>
    <w:p>
      <w:r>
        <w:t>Der Mieter muss die Sache nach Art. 257f Abs. 1 OR sorgfältig gebrauchen. Verletzt er trotz schriftlicher Mahnung des Vermieters seine Pflicht zu Sorgfalt weiter, so dass dem Vermieter die Fortsetzung des Mietverhältnisses nicht mehr zuzumuten ist, so kann der Vermieter fristlos, bei Wohn- und Geschäftsräumen mit einer Frist von mindestens 30 Tagen auf Ende eines Monats kündigen ( Art. 257f Abs. 3 OR ).</w:t>
      </w:r>
    </w:p>
    <w:p>
      <w:r>
        <w:t>Nach Art. 262 Abs. 1 OR kann der Mieter die Sache mit Zustimmung des Vermieters ganz oder teilweise untervermieten. Der Vermieter kann die Zustimmung u.a. verweigern, wenn sich der Mieter weigert, dem Vermieter die Bedingungen der Untermiete bekannt zu geben ( Art. 262 Abs. 2 lit. a OR ).</w:t>
      </w:r>
    </w:p>
    <w:p>
      <w:r>
        <w:rPr>
          <w:b/>
        </w:rPr>
        <w:t>E. 4.2</w:t>
      </w:r>
    </w:p>
    <w:p>
      <w:r>
        <w:t>Die Vorinstanz hat festgestellt, die Beschwerdegegner hätten die Beschwerdeführerin mehrmals schriftlich auf die fehlende Zustimmung zu den Untermietverhältnissen hingewiesen. Sie hätten zudem in mehreren Schreiben die fehlende Bekanntgabe der Untermietbedingungen reklamiert und die Beschwerdeführerin aufgefordert, die Untermietverträge offenzulegen. Diese Aufforderungen habe die Beschwerdeführerin ignoriert. Die Beschwerdegegner wären unter diesen Umständen befugt gewesen, ihre Zustimmung zu den Untermietverhältnissen zu verweigern ( Art. 262 Abs. 2 lit. a OR ). Die Beschwerdeführerin habe ihre Sorgfaltspflicht in schwerwiegender Weise verletzt, indem sie weder die Zustimmung zu den Untermietverhältnissen eingeholt noch die Untermietbedingungen bekannt gegeben habe. Damit seien die Voraussetzungen für eine ausserordentliche Kündigung nach Art. 257f Abs. 3 OR erfüllt gewesen.</w:t>
      </w:r>
    </w:p>
    <w:p>
      <w:r>
        <w:rPr>
          <w:b/>
        </w:rPr>
        <w:t>E. 4.3</w:t>
      </w:r>
    </w:p>
    <w:p>
      <w:r>
        <w:t>Die Beschwerdeführerin macht geltend, die Beschwerdegegner hätten nie verlangt, dass die Untermietverhältnisse beendet würden. Auch hätten sie nie angedroht, das Mietverhältnis vorzeitig aufzulösen, falls ihnen die Untermietbedingungen nicht bekannt gegeben würden. Damit fehle es an der von Art. 257f Abs. 2 (recte: 3) OR vorausgesetzten schriftlichen Abmahnung. Sie habe zudem bloss Teile des Mietobjekts untervermietet. Schliesslich hätten die Beschwerdegegner nie geltend gemacht, dass ihnen die Fortsetzung des Mietverhältnisses unzumutbar sei. Voraussetzung für die Unzumutbarkeit sei auch die Verhältnismässigkeit, die vorliegend nicht gegeben sei: Der Mietvertrag sei auf den 1. Oktober 2020 befristet worden und sie habe gestützt auf diese lange Vertragsdauer Investitionen von rund Fr. 1 Mio. getätigt.</w:t>
      </w:r>
    </w:p>
    <w:p>
      <w:r>
        <w:rPr>
          <w:b/>
        </w:rPr>
        <w:t>E. 4.4</w:t>
      </w:r>
    </w:p>
    <w:p>
      <w:r>
        <w:t>Nach der bundesgerichtlichen Rechtsprechung kann eine Untervermietung ohne Zustimmung des Vermieters eine ausserordentliche Kündigung gemäss Art. 257f Abs. 3 OR nach sich ziehen ( BGE 134 III 446 E. 2.2 S. 449, 300 E. 3.1 S. 302). Voraussetzung dafür ist eine schriftliche Mahnung des Vermieters; dieser muss den Mieter mithin dazu auffordern, sich an das Gesetz zu halten, und er muss den Mieter entweder zur Beendigung der Untervermietung auffordern oder gegen das Unterbleiben des Ersuchens um Zustimmung protestieren und gegebenenfalls die Bekanntgabe der Untermietbedingungen fordern ( BGE 134 III 446 E. 2.2 S. 449, 300 E. 3.1 S. 303). Reagiert der Mieter nicht auf die schriftliche Mahnung, so ist der Vermieter jedenfalls zur vorzeitigen Kündigung des Mietverhältnisses berechtigt, wenn er sich aus einem der in Art. 262 Abs. 2 OR genannten Gründe der Untervermietung hätte widersetzen können ( BGE 134 III 446 E. 2.2 S. 449). Die Voraussetzung, wonach die Fortsetzung des Mietverhältnisses dem Vermieter nicht mehr zumutbar sein darf ( Art. 257f Abs. 3 OR ), muss diesfalls nicht selbständig geprüft werden; vielmehr wird davon ausgegangen, dass etwa im Falle der Weigerung des Mieters, dem Vermieter die Bedingungen der Untermiete bekannt zu geben ( Art. 262 Abs. 2 lit. a OR ) die Unzumutbarkeit der Fortsetzung des Mietverhältnisses stets zu bejahen ist ( BGE 134 III 446 E. 2.2 S. 449, 300 E. 3.1 S. 304).</w:t>
      </w:r>
    </w:p>
    <w:p>
      <w:r>
        <w:rPr>
          <w:b/>
        </w:rPr>
        <w:t>E. 4.5</w:t>
      </w:r>
    </w:p>
    <w:p>
      <w:r>
        <w:t>Nach den vorinstanzlichen Feststellungen hat die Beschwerdeführerin die Beschwerdegegner nicht um Zustimmung zur Untervermietung ersucht. Indem diese die fehlende Zustimmung zu den Untermietverhältnissen und die fehlende Bekanntgabe der Untermietbedingungen (sogar mehrfach) reklamiert und die Beschwerdeführerin aufgefordert haben, die Untermietverträge offenzulegen, sind sie ihrer Pflicht zur schriftlichen Mahnung nach Art. 257f Abs. 3 OR nachgekommen. Entgegen der Ansicht der Beschwerdeführerin waren die Beschwerdegegner nicht verpflichtet, die Beendigung der Untermietverhältnisse zu verlangen oder die vorzeitige Kündigung anzudrohen. Die Beschwerdeführerin ist ihrer Pflicht zur Einholung der Zustimmung und zur Bekanntgabe der Untermietverhältnisse trotz der Mahnungen nicht nachgekommen. Die Beschwerdegegner hätten sich somit der Untervermietung gestützt auf Art. 262 Abs. 2 lit. a OR widersetzen können. Damit ist gemäss der dargelegten bundesgerichtlichen Rechtsprechung gleichzeitig die Unzumutbarkeit der Fortsetzung des Mietverhältnisses zu bejahen. Daran ändert auch nichts, dass die Beschwerdeführerin bloss Teile des Mietobjekts untervermietet hat, denn nach Art. 262 Abs. 1 OR ist die Zustimmung des Vermieters auch erforderlich, wenn der Mieter die Sache teilweise untervermieten will (vgl. auch Urteil 4A_456/2010 vom 18. April 2011 E. 3.1). Die Vorinstanz hat somit Art. 257f Abs. 3 OR nicht verletzt, indem sie die Gültigkeit der Kündigung gestützt auf diese Bestimmung bejaht hat.</w:t>
      </w:r>
    </w:p>
    <w:p>
      <w:r>
        <w:rPr>
          <w:b/>
        </w:rPr>
        <w:t>E. 5</w:t>
      </w:r>
    </w:p>
    <w:p>
      <w:r>
        <w:t>Nach dem Gesagten ist die Beschwerde abzuweisen, soweit darauf einzutreten ist. Bei diesem Verfahrensausgang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