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378/2016 vom 11. Januar 2017</w:t>
      </w:r>
    </w:p>
    <w:p>
      <w:r>
        <w:t>Bundesgericht, 2017-01-11, FR</w:t>
      </w:r>
    </w:p>
    <w:p>
      <w:r>
        <w:rPr>
          <w:b/>
        </w:rPr>
        <w:t xml:space="preserve">Quelle: </w:t>
      </w:r>
      <w:r>
        <w:t>https://mcp.opencaselaw.ch/entscheid/bger_4A_378_2016</w:t>
      </w:r>
    </w:p>
    <w:p>
      <w:r>
        <w:t>FR: TF 4A 378/2016 du 11 janvier 2017</w:t>
      </w:r>
    </w:p>
    <w:p>
      <w:r>
        <w:t>IT: TF 4A 378/2016 del 11 gennaio 2017</w:t>
      </w:r>
    </w:p>
    <w:p>
      <w:pPr>
        <w:pStyle w:val="Heading2"/>
      </w:pPr>
      <w:r>
        <w:t>Regeste</w:t>
      </w:r>
    </w:p>
    <w:p>
      <w:r>
        <w:t>droit d'emption relatif à un immeuble; représentation | Droit des contrats</w:t>
      </w:r>
    </w:p>
    <w:p>
      <w:pPr>
        <w:pStyle w:val="Heading2"/>
      </w:pPr>
      <w:r>
        <w:t>Erwägungen</w:t>
      </w:r>
    </w:p>
    <w:p>
      <w:r>
        <w:rPr>
          <w:b/>
        </w:rPr>
        <w:t>E. 1.1</w:t>
      </w:r>
    </w:p>
    <w:p>
      <w:r>
        <w:t>Selon la FAO du... 2016, le Grand Conseil du Canton de Vaud a ratifié le 9 juin 2015 la convention de fusion des Communes A.________, B.________ et C.________, lesquelles sont réunies depuis le 1er juillet 2016 en une seule commune sous la dénomination X.________. La Commune X.________, qui a succédé aux droits de l'ancienne Commune A.________ (auteur du présent recours en matière civile) en vertu de la convention de fusion précitée ratifiée par le parlement du canton, est donc substituée dans la présente instance fédérale à la commune par application analogique de l' art. 17 PCF en vertu du renvoi de l' art. 71 LTF .</w:t>
      </w:r>
    </w:p>
    <w:p>
      <w:r>
        <w:rPr>
          <w:b/>
        </w:rPr>
        <w:t>E. 1.2</w:t>
      </w:r>
    </w:p>
    <w:p>
      <w:r>
        <w:t>Interjeté par la défenderesse qui a largement succombé dans ses conclusions libératoires et qui a ainsi la qualité pour recourir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1.3</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1.4</w:t>
      </w:r>
    </w:p>
    <w:p>
      <w:r>
        <w:t>Saisi d'un recours en matière civile, 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2</w:t>
      </w:r>
    </w:p>
    <w:p>
      <w:r>
        <w:t>Dans l'arrêt déféré, la cour cantonale a retenu que la Municipalité de la recourante, au mépris de l'art. 4 al. 1 ch. 6 de la loi vaudoise sur les communes du 28 février 1956 (LC/VD; RSV 175.11), a octroyé un droit d'emption au superficiaire (i. e. la demanderesse) sans l'agrément du Conseil communal, qui s'était limité, dans sa décision du 3 juillet 2000, à donner l'autorisation à la Municipalité de constituer des droits de superficie pour les parcelles de la ZI " V.________ ". A l'instar de la Chambre patrimoniale, elle a jugé que le non-respect par la Municipalité de la décision en cause du 3 juillet 2000 n'était pas manifeste et reconnaissable pour la demanderesse. Se référant à l'art. 68 LC/VD, la Cour d'appel a jugé que la demanderesse était fondée à se fier aux actes de la Municipalité en vertu de l'apparence de pouvoirs créée par les actes du syndic et de sa secrétaire municipale, du fait que l'acte du 19 juin 2006 a été instrumenté par un notaire qui avait rédigé déjà quatre actes pour la même parcelle et du fait que celui-ci n'a pas relevé l'excès de pouvoirs de la Municipalité. Elle en a inféré que l'acte litigieux lie la défenderesse dans la mesure où la demanderesse est de bonne foi. L'autorité cantonale a aussi admis que le contenu matériel de l'acte du 19 juin 2006 n'est pas illicite au sens de l' art. 20 CO et que la violation des règles de droit public quant à la répartition des compétences au sein de la commune ne concernait pas le contenu du contrat et ne saurait entraîner sa nullité. De surcroît, l'art. 68 LC/VD prévoit que la commune est liée à l'égard des tiers de bonne foi. Enfin, les magistrats vaudois ont rejeté le grief pris d'une transgression de l' art. 58 CPC .</w:t>
      </w:r>
    </w:p>
    <w:p>
      <w:r>
        <w:rPr>
          <w:b/>
        </w:rPr>
        <w:t>E. 3.1</w:t>
      </w:r>
    </w:p>
    <w:p>
      <w:r>
        <w:t>A l'appui de son premier moyen, la recourante invoque la violation des art. 6 CC , 19 et 20 CO, ainsi que l'application arbitraire de l'art. 4 al. 1 ch. 6 LC/VD. Elle fait valoir que le Conseil communal n'a jamais rendu de décision relative à la constitution du droit d'emption litigieux, de sorte que la Municipalité ne pouvait prendre seule une telle décision sans enfreindre l'art. 4 al. 1 ch. 6 LC/VD. Cette décision est de toute manière nulle au sens de l' art. 20 CO , car elle viole une norme de droit public impérative. La recourante allègue que l'acte du 19 juin 2006 est illicite, et partant nul au regard de l' art. 20 CO , pour avoir été accompli par une autorité incompétente. La bonne foi éventuelle de l'une des parties à l'acte précité ne permettrait pas de reconnaître malgré tout sa validité, car la lecture du document émanant du Conseil communal joint à l'acte notarié litigieux montre que le droit d'emption n'a pas été autorisé par cet organe communal. D'après l'art. 68 al. 1 LC/VD, pour être valables, les actes de droit privé auxquels une commune est partie doivent être réguliers en la forme. Or, dans la présente cause, cette condition n'est pas réalisée puisque la décision du Conseil communal autorisant l'octroi d'un droit d'emption n'était pas jointe à l'acte notarié.</w:t>
      </w:r>
    </w:p>
    <w:p>
      <w:r>
        <w:rPr>
          <w:b/>
        </w:rPr>
        <w:t>E. 3.2.1</w:t>
      </w:r>
    </w:p>
    <w:p>
      <w:r>
        <w:t>Pour être valable, le pacte d'emption relatif à un immeuble doit être passé en la forme authentique ( art. 216 al. 2 CO ). Par acte authentique du 19 juin 2006, la recourante a concédé à l'intimée, en plus d'un droit de superficie sur une partie de la parcelle 356 dont elle est propriétaire dans la ZI " V.________ ", un droit d'emption dès le 19 juin 2011 sur ce bien-fonds, à savoir le droit personnel de se porter acquéreur de ce bien à titre onéreux, cela pour une durée de cinq ans (chiffre 3.19 dudit acte).</w:t>
      </w:r>
    </w:p>
    <w:p>
      <w:r>
        <w:rPr>
          <w:b/>
        </w:rPr>
        <w:t>E. 3.2.2</w:t>
      </w:r>
    </w:p>
    <w:p>
      <w:r>
        <w:t>En droit vaudois, dans les transactions où la commune se présente comme personne morale de droit privé, c'est-à-dire quand elle conclut des contrats, passe des baux ou agit en sa qualité de propriétaire du domaine privé, les règles du droit civil fédéral s'appliquent obligatoirement à la commune comme à tout autre sujet de droit (art. 68 al. 2 LC/VD; Exposé des motifs de la LC/VD, Bulletin du Grand Conseil vaudois, BGC, printemps 1955, p. 825). Autrement dit, pour les actes qui ne sont pas des actes administratifs relevant du droit public, comme la conclusion d'un pacte d'emption sur un immeuble de son domaine privé, la commune est représentée conformément aux art. 32 ss CO .</w:t>
      </w:r>
    </w:p>
    <w:p>
      <w:r>
        <w:rPr>
          <w:b/>
        </w:rPr>
        <w:t>E. 3.2.3.1</w:t>
      </w:r>
    </w:p>
    <w:p>
      <w:r>
        <w:t>D'après l' art. 32 al. 1 CO , les droits et obligations dérivant d'un contrat fait au nom d'une autre personne par un représentant autorisé passent au représenté. Il s'ensuit que le représentant n'est pas lié par l'acte accompli. Les effets de la représentation ne naissent que si le représentant a manifesté, expressément ou tacitement (cf. art. 32 al. 2 CO ), sa volonté d'agir au nom d'autrui et s'il dispose du pouvoir de représentation, c'est-à-dire s'il est habilité à faire naître des droits et des obligations directement en faveur et à la charge du représenté ( ATF 126 III 59 consid. 1b p. 64 et les arrêts cités). In casu, le syndic de la commune et la secrétaire municipale, qui ont comparu en personne pour la signature de l'acte notarié du 19 juin 2006, ont manifesté expressis verbis (cf. chiffre 1 dudit acte) leur volonté d'agir au nom de la recourante dans le cadre de la constitution du droit de superficie et de l'octroi du droit d'emption sur la parcelle susmentionnée. Le syndic et la secrétaire municipale avaient donc la volonté de représenter la commune. La première condition de l' art. 32 al. 1 CO (la volonté du représentant d'agir au nom du représenté) est réalisée.</w:t>
      </w:r>
    </w:p>
    <w:p>
      <w:r>
        <w:rPr>
          <w:b/>
        </w:rPr>
        <w:t>E. 3.2.3.2</w:t>
      </w:r>
    </w:p>
    <w:p>
      <w:r>
        <w:t>Pour qu'il y ait représentation directe, il faut encore que le représentant ait été muni de pouvoirs par le représenté (seconde condition de l' art. 32 al. 1 CO ). Afin de savoir si des pouvoirs et quels pouvoirs ont été octroyés au représentant par le représenté, il convient de se baser sur la manifestation de volonté du représenté au représentant (la procuration interne). Lorsque les pouvoirs découlent d'un acte juridique, l'étendue en est déterminée par cet acte même ( art. 33 al. 2 CO ), qui relève des rapports internes. Lorsque le représentant agit au nom du représenté sans avoir reçu de pouvoirs, en particulier lorsque l'acte qu'il a passé n'est pas couvert par la procuration, cet acte reste sans effet pour le représenté, à moins que celui-ci ne le ratifie ( art. 38 CO ). En cas de dépassement de pouvoirs, l'acte est accompli sans pouvoirs et les règles relatives à la représentation sans pouvoirs trouvent aussi application (cf. CHRISTINE CHAPPUIS, in Commentaire romand, Code des obligations I, 2e éd. 2012, n° 17 ad art. 33 CO ). Selon l'art. 4 al. 1 ch. 6 LC/VD, l'octroi du droit d'emption litigieux à l'intimée ressortissait à la compétence du Conseil communal, et non à celle de la Municipalité. Or, dans sa séance du 3 juillet 2000, le Conseil communal a autorisé uniquement la Municipalité à constituer les droits de superficie. Il en découle que les pouvoirs conférés par le Conseil communal à la Municipalité, laquelle est présidée par le syndic (art. 73 LC/VD), ne portaient pas sur l'octroi d'un droit d'emption au superficiaire (i.e. l'intimée).</w:t>
      </w:r>
    </w:p>
    <w:p>
      <w:r>
        <w:rPr>
          <w:b/>
        </w:rPr>
        <w:t>E. 3.2.3.3</w:t>
      </w:r>
    </w:p>
    <w:p>
      <w:r>
        <w:t>En l'espèce, le syndic de la commune et sa secrétaire municipale, qui ont comparu devant le notaire au nom de la recourante, ont agi en vertu de l'extrait du procès-verbal de la séance du 3 juillet 2000 du Conseil communal, lequel, comme on vient de le voir, permettait seulement à la Municipalité de constituer des droits de superficie. Ce document étant annexé à l'acte authentique, l'intimée a pu et dû comprendre que la procuration interne délivrée par la recourante ne permettait pas la constitution en sa faveur d'un droit d'emption. En signant les clauses de l'acte notarié portant constitution d'un droit d'emption (cf. chiffre 3.19), les représentants de la commune ont excédé leurs pouvoirs (internes). Le pacte d'emption passé le 19 juin 2006 ne déploie en conséquence aucun effet obligatoire pour la représentée (la commune recourante), car les pouvoirs qu'elle avait octroyés à ses représentants ne couvraient pas l'acte conclu en son nom. La recourante n'a pas ratifié l'acte accompli sans pouvoirs, puisque lorsque l'intimée a manifesté le 22 octobre 2012 sa volonté d'exercer le droit d'emption, la Municipalité de la commune, par pli du 4 juillet 2013, a refusé de lui vendre la parcelle au prix convenu dans l'acte authentique. Dès l'instant où il n'y pas eu in casu communication de pouvoirs externes ( art. 33 al. 3 CO ) allant au-delà des pouvoirs internes, la question de la protection du tiers de bonne foi ne se pose pas. Partant, il y a lieu d'admettre que la constitution du droit d'emption n'est pas valable et que la société intimée doit être entièrement déboutée de son action.</w:t>
      </w:r>
    </w:p>
    <w:p>
      <w:r>
        <w:rPr>
          <w:b/>
        </w:rPr>
        <w:t>E. 3.3</w:t>
      </w:r>
    </w:p>
    <w:p>
      <w:r>
        <w:t>Vu la solution adoptée, le grief de violation de l' art. 58 CPC n'a pas besoin d'être examiné.</w:t>
      </w:r>
    </w:p>
    <w:p>
      <w:r>
        <w:rPr>
          <w:b/>
        </w:rPr>
        <w:t>E. 4</w:t>
      </w:r>
    </w:p>
    <w:p>
      <w:r>
        <w:t>Il s'ensuit que le recours doit être admis et que l'arrêt attaqué doit être réformé en ce sens que la demande est entièrement rejetée. L'intimée qui succombe, paiera les frais judiciaires et versera à sa partie adverse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