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4A_377/2024 vom 12. Juli 2024</w:t>
      </w:r>
    </w:p>
    <w:p>
      <w:r>
        <w:t>Bundesgericht, 2024-07-12, FR</w:t>
      </w:r>
    </w:p>
    <w:p>
      <w:r>
        <w:rPr>
          <w:b/>
        </w:rPr>
        <w:t xml:space="preserve">Quelle: </w:t>
      </w:r>
      <w:r>
        <w:t>https://mcp.opencaselaw.ch/entscheid/bger_4A_377_2024</w:t>
      </w:r>
    </w:p>
    <w:p>
      <w:r>
        <w:t>FR: TF 4A_377/2024 du 12 juillet 2024</w:t>
      </w:r>
    </w:p>
    <w:p>
      <w:r>
        <w:t>IT: TF 4A_377/2024 del 12 luglio 2024</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Demeure réservée la recevabilité des griefs individuels.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w:t>
      </w:r>
    </w:p>
    <w:p>
      <w:r>
        <w:rPr>
          <w:b/>
        </w:rPr>
        <w:t>E. 2.2</w:t>
      </w:r>
    </w:p>
    <w:p>
      <w:r>
        <w:t>Le recours peut être formé pour violation du droit fédéral ( art. 95 let. a LTF ). Saisi d'un recours en matière civile contre une décision rendue en procédure de protection dans les cas clairs, le Tribunal fédéral applique le droit d'office ( art. 106 al. 1 LTF ), sous réserve de la violation des droits constitutionnels ( art. 106 al. 2 LTF ). Il revoit ainsi librement l'application de l' art. 257 CPC ( art. 95 let. a LTF ; ATF 138 III 728 consid. 3.2; 138 III 620 consid. 5).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4A_80/2024 du 24 mai 2024 consid. 2.3; 4A_245/2021 du 26 octobre 2021 consid. 4.1; 4A_40/2021 du 10 juin 2021 consid. 3.2 et les références citées).</w:t>
      </w:r>
    </w:p>
    <w:p>
      <w:r>
        <w:rPr>
          <w:b/>
        </w:rPr>
        <w:t>E. 3.1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w:t>
      </w:r>
    </w:p>
    <w:p>
      <w:r>
        <w:t>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3.2</w:t>
      </w:r>
    </w:p>
    <w:p>
      <w:r>
        <w:t>Si le locataire conteste la résiliation du bail (art. 150 al. 1</w:t>
      </w:r>
    </w:p>
    <w:p>
      <w:r>
        <w:t>in fine et 55 al. 1 CPC), le tribunal devra examiner sa validité à titre préjudiciel, autrement dit vérifier si les conditions matérielles de l' art. 257d al. 1 et 2 CO sont remplies. En effet, l'expulsion du locataire présuppose que le bail ait valablement pris fin, puisque l'extinction du bail est une condition du droit à la restitution des locaux ( art. 267 al. 1 CO , respectivement art. 299 al. 1 CO ). Les conditions de l' art. 257 CPC s'appliquent également à cette question préjudicielle ( ATF 144 III 462 consid. 3.3.1; 142 III 515 consid. 2.2.4</w:t>
      </w:r>
    </w:p>
    <w:p>
      <w:r>
        <w:t>in fine ; 141 III 262 consid. 3.2</w:t>
      </w:r>
    </w:p>
    <w:p>
      <w:r>
        <w:t>in fine ; sur la notification de l'avis comminatoire et de la résiliation, cf. arrêt 4A_234/2022 du 21 novembre 2022 consid. 4.1).</w:t>
      </w:r>
    </w:p>
    <w:p>
      <w:r>
        <w:rPr>
          <w:b/>
        </w:rPr>
        <w:t>E. 4.1</w:t>
      </w:r>
    </w:p>
    <w:p>
      <w:r>
        <w:t>En l'espèce, la cour cantonale a écarté les trois griefs brandis par les recourants et confirmé l'ordonnance d'expulsion.</w:t>
      </w:r>
    </w:p>
    <w:p>
      <w:r>
        <w:t>Ceux-si soutenaient que l'ordonnance d'expulsion devait être annulée à mesure que les locataires ne s'étaient pas présentés en personne à l'audience du Juge de paix et malgré la dispense de comparution personnelle dont ils bénéficiaient. La cour cantonale les a détrompés en exposant que la loi n'imposait nullement aux locataires de comparaître en personne à cette audience (il ne s'agissait notamment pas d'une procédure de conciliation [ art. 204 al. 1 CPC ], celle-ci étant exclue en procédure sommaire; art. 198 let. a CPC ) et que le Juge de paix n'avait pas ordonné une comparution personnelle. Il s'ensuivait que les locataires avaient été valablement représentés par leur mandataire à l'audience. Par ailleurs, l' art. 234 al. 1 CPC s'appliquait, de sorte qu'en tout état de cause, l'ordonnance n'aurait pas été annulable pour ce seul motif.</w:t>
      </w:r>
    </w:p>
    <w:p>
      <w:r>
        <w:t>Ils estimaient également qu'ils n'étaient pas seuls locataires et que ceux auxquels ils avaient succédé auraient également dû recevoir aussi bien la sommation que la résiliation. S'ensuivrait la nullité de la résiliation et de l'ordonnance d'expulsion. La cour cantonale leur a également donné tort sur ce chapitre, puisque - par avenant du 30 avril 2021 - le bail avait été transféré avec effet au 1er mai 2021 aux recourants, uniques colocataires.</w:t>
      </w:r>
    </w:p>
    <w:p>
      <w:r>
        <w:t>Ils clamaient enfin que la mise en demeure et la résiliation de bail envoyées à la société recourante ne seraient pas valables car adressées à l'adresse des locaux loués et non au siège de la société, qui se trouvait dans le même immeuble mais donnant sur l'autre rue. En vain, puisque - comme la cour cantonale l'a constaté - une boîte à lettres au nom de ladite société se trouvait manifestement à l'adresse des locaux loués et surtout le recourant, seul gérant et titulaire de la signature individuelle pour ladite société, avait retiré les plis recommandés contenant tant la sommation que la résiliation qui lui étaient personnellement adressées.</w:t>
      </w:r>
    </w:p>
    <w:p>
      <w:r>
        <w:rPr>
          <w:b/>
        </w:rPr>
        <w:t>E. 4.2</w:t>
      </w:r>
    </w:p>
    <w:p>
      <w:r>
        <w:t>Dans leur mémoire, les recourants soulèvent à nouveau trois griefs.</w:t>
      </w:r>
    </w:p>
    <w:p>
      <w:r>
        <w:t>Premièrement, ils réitèrent que la mise en demeure et la résiliation de bail n'ont pas été correctement notifiées à la société recourante, à l'adresse des locaux loués, sans toutefois discuter l'argumentation développée par la cour cantonale, qui tient à l'existence d'une boîte aux lettres au nom de ladite société à l'adresse à laquelle lui ont été envoyés les plis litigieux et à la réception effective par son gérant de ces plis qui lui étaient adressés à titre personnel en parallèle.</w:t>
      </w:r>
    </w:p>
    <w:p>
      <w:r>
        <w:t>Ce premier grief s'avère donc irrecevable.</w:t>
      </w:r>
    </w:p>
    <w:p>
      <w:r>
        <w:t>Secondement, les recourants soutiennent que la procédure dans les cas clairs ne serait pas applicable. Selon eux, il devait être procédé à une analyse de la résiliation "plus approfondie" et "la notification (serait) source de nullité ( art.266o CO ) ". La justice de paix aurait à leurs yeux dû attendre le prononcé du tribunal des baux. Cela étant, la Cour de céans observe qu'ils n'ont pas soumis ce grief à l'instance précédente, de sorte qu'il apparaît nouveau et en conséquence irrecevable, lui aussi. Par surabondance, on relèvera que l'action pendante devant le tribunal des baux ne faisait pas obstacle à l'action en expulsion intentée par les bailleurs selon l' art. 257 CPC ( ATF 141 III 262 consid. 3).</w:t>
      </w:r>
    </w:p>
    <w:p>
      <w:r>
        <w:t>Pour finir, ils se plaignent d'une violation de leur droit d'être entendu, reprochant au Juge de paix d'avoir fait preuve de légèreté et regrettant que la cour cantonale n'ait pas "jugé utile de rectifier" son prononcé. Cette ébauche de motivation est toutefois insuffisante au regard des exigences qui prévalent pour la violation du droit constitutionnel.</w:t>
      </w:r>
    </w:p>
    <w:p>
      <w:r>
        <w:t>Ce dernier grief connaît dès lors le même sort que les précédents.</w:t>
      </w:r>
    </w:p>
    <w:p>
      <w:r>
        <w:rPr>
          <w:b/>
        </w:rPr>
        <w:t>E. 5</w:t>
      </w:r>
    </w:p>
    <w:p>
      <w:r>
        <w:t>Partant, le recours est irrecevable.</w:t>
      </w:r>
    </w:p>
    <w:p>
      <w:r>
        <w:t>L'une des conditions pour l'octroi de l'assistance judiciaire fait défaut, puisque le recours était manifestement dépourvu de chances de succès ( art. 64 al. 1 LTF ). Il convient dès lors de rejeter la demande d'assistance judiciaire formée par les recourants, qui prendront à leur charge les frais de la présente procédure ( art. 66 al. 1 LTF ).</w:t>
      </w:r>
    </w:p>
    <w:p>
      <w:r>
        <w:t>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