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376/2016 vom 2. Dezember 2016</w:t>
      </w:r>
    </w:p>
    <w:p>
      <w:r>
        <w:t>Bundesgericht, 2016-12-02, FR</w:t>
      </w:r>
    </w:p>
    <w:p>
      <w:r>
        <w:rPr>
          <w:b/>
        </w:rPr>
        <w:t xml:space="preserve">Quelle: </w:t>
      </w:r>
      <w:r>
        <w:t>https://mcp.opencaselaw.ch/entscheid/bger_4A_376_2016</w:t>
      </w:r>
    </w:p>
    <w:p>
      <w:r>
        <w:t>FR: TF 4A 376/2016 du 2 décembre 2016</w:t>
      </w:r>
    </w:p>
    <w:p>
      <w:r>
        <w:t>IT: TF 4A 376/2016 del 2 dicembre 2016</w:t>
      </w:r>
    </w:p>
    <w:p>
      <w:pPr>
        <w:pStyle w:val="Heading2"/>
      </w:pPr>
      <w:r>
        <w:t>Regeste</w:t>
      </w:r>
    </w:p>
    <w:p>
      <w:r>
        <w:t>contrat d'entreprise; appréciation des preuves | Droit des contrats</w:t>
      </w:r>
    </w:p>
    <w:p>
      <w:pPr>
        <w:pStyle w:val="Heading2"/>
      </w:pPr>
      <w:r>
        <w:t>Erwägungen</w:t>
      </w:r>
    </w:p>
    <w:p>
      <w:r>
        <w:rPr>
          <w:b/>
        </w:rPr>
        <w:t>E. 1.1</w:t>
      </w:r>
    </w:p>
    <w:p>
      <w:r>
        <w:t>Interjeté en temps utile ( art. 100 al. 1 LTF ) par la défenderesse qui a succombé dans ses conclusions libératoires et en compensation ( art. 76 al. 1 LTF ) et dirigé contre une décision finale ( art. 90 LTF ) prise sur recours par le tribunal supérieur du canton ( art. 75 LTF ) dans une contestation relevant du contrat d'entreprise, dont la valeur litigieuse est supérieure à 30'000 fr. (art. 72 al. 1 et 74 al. 1 let. b LTF), le recours en matière civile est recevable au regard de ces dispositions.</w:t>
      </w:r>
    </w:p>
    <w:p>
      <w:r>
        <w:rPr>
          <w:b/>
        </w:rPr>
        <w:t>E. 1.2</w:t>
      </w:r>
    </w:p>
    <w:p>
      <w:r>
        <w:t>S'il résulte clairement du recours quels sont les points litigieux et les montants en jeu y relatifs, il est nécessaire de se référer au jugement de première instance pour comprendre le calcul aboutissant à la condamnation de 48'480 fr. 35 ( art. 105 al. 2 LTF ). Si donc les deux premiers points du recours étaient admis, ils devraient être portés en déduction du montant auquel la défenderesse a été condamnée; il en va de même si le troisième point, qui est une contre-créance opposée en compensation et dont la cour cantonale a refusé de tenir compte, était admis. Si les trois points étaient admis, le solde serait même négatif et, partant, l'action devrait - comme le demande la recourante dans ses conclusions - aussi être rejetée.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135 III 397 consid. 1.4). Il n'examine la violation des droits fondamentaux et, de manière générale, des droits constitutionnels ( ATF 133 III 638 consid. 2) que si un grief a été soulevé et motivé par le recourant ( art. 106 al. 2 LTF ; ATF 134 I 83 consid. 3.2; 133 II 249 consid. 1.4.2).</w:t>
      </w:r>
    </w:p>
    <w:p>
      <w:r>
        <w:rPr>
          <w:b/>
        </w:rPr>
        <w:t>E. 3</w:t>
      </w:r>
    </w:p>
    <w:p>
      <w:r>
        <w:t>La cour cantonale a condamné l'entrepreneur à payer le montant de 12'862 fr. 85 correspondant au rétablissement d'un marchepied en lisière de forêt. La recourante le conteste, invoquant pêle-mêle la violation de l' art. 18 CO et l'appréciation arbitraire des faits et de l'expertise.</w:t>
      </w:r>
    </w:p>
    <w:p>
      <w:r>
        <w:rPr>
          <w:b/>
        </w:rPr>
        <w:t>E. 3.1</w:t>
      </w:r>
    </w:p>
    <w:p>
      <w:r>
        <w:t>En fait, la cour cantonale a retenu en substance qu'un marchepied de 5 mètres de largeur en lisière de forêt (aussi appelé piste forestière) devait être maintenu, que, selon le permis de construire, aux conditions duquel l'entrepreneur était lié, le terrain ne devait pas se terminer par des talus arrivant à flanc de rivière. En outre, l'entrepreneur a procédé à des mouvements de terre qui n'étaient pas conformes aux plans déposés pour l'obtention du permis de construire et il en est résulté une modification du terrain naturel dans la bande de 5 mètres. Selon l'expert, les travaux de rétablissement du marchepied ont été rendus nécessaires en raison de ces mouvements de terre opérés par l'entrepreneur. La cour cantonale en a déduit en substance que, contrairement à ce que soutenait l'entrepreneur appelant, il n'était pas possible de qualifier les travaux relatifs à ce marchepied d'"exigence supplémentaire" (non comprise dans le prix forfaitaire convenu) au sens de l'art. 4.4 du contrat. Elle a jugé qu'il s'agit en réalité d'un aménagement qui a dû être entrepris à la suite des mouvements de terre opérés fautivement par l'entrepreneur.</w:t>
      </w:r>
    </w:p>
    <w:p>
      <w:r>
        <w:rPr>
          <w:b/>
        </w:rPr>
        <w:t>E. 3.2</w:t>
      </w:r>
    </w:p>
    <w:p>
      <w:r>
        <w:t>Il sied de constater que la cour cantonale ne s'est pas conformée aux exigences posées par le Tribunal fédéral en ce qui concerne la motivation de l'appel ( art. 311 al. 1 CPC ) et la cognition de l'instance d'appel.</w:t>
      </w:r>
    </w:p>
    <w:p>
      <w:r>
        <w:rPr>
          <w:b/>
        </w:rPr>
        <w:t>E. 3.2.1</w:t>
      </w:r>
    </w:p>
    <w:p>
      <w:r>
        <w:t>Selon la jurisprudence, pour satisfaire à son obligation de motivation de l'appel prévue par l'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consid. 4.3.1 p. 375).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4A_97/2014 du 26 juin 2014 consid. 3.3), ou si elle ne contient que des critiques toutes générales de la décision attaquée ou encore si elle ne fait que renvoyer aux moyens soulevés en première instance, elle ne satisfait pas aux exigences de l' art. 311 al. 1 CPC et l'instance d'appel ne peut entrer en matière (arrêts 5A_438/2012 du 27 août 2012 consid. 2.2; 4A_97/2014 déjà cité consid. 3.3). Il s'agit là d'une condition de recevabilité de l'appel, la cour d'appel ne devant pas entrer en matière si le recours n'indique pas quel point est critiqué et ne motive pas en quoi la motivation du tribunal de première instance juge serait fausse.</w:t>
      </w:r>
    </w:p>
    <w:p>
      <w:r>
        <w:rPr>
          <w:b/>
        </w:rPr>
        <w:t>E. 3.2.2</w:t>
      </w:r>
    </w:p>
    <w:p>
      <w:r>
        <w:t>Si le point est critiqué et motivé et que la Cour d'appel peut donc entrer en matière, elle est ensuite libre dans l'application du droit ( art. 57 CPC ), n'étant liée ni par la motivation du tribunal de première instance, ni par celle de l'appelant. Si elle ne peut pas approuver le raisonnement du tribunal de première instance sur le point litigieux, elle doit procéder à une substitution de motifs, qu'il lui incombe de motiver.</w:t>
      </w:r>
    </w:p>
    <w:p>
      <w:r>
        <w:rPr>
          <w:b/>
        </w:rPr>
        <w:t>E. 3.3</w:t>
      </w:r>
    </w:p>
    <w:p>
      <w:r>
        <w:t>En l'espèce, le Tribunal fédéral peut toutefois se dispenser de renvoyer la cause à la cour cantonale, frais à la charge du canton ( art. 112 al. 1 LTF ), dès lors que, d'une part, il résulte clairement des faits et de sa motivation finale qu'elle n'a suivi ni la motivation des premiers juges, ni celle de l'appelante, mais a admis, par substitution de motifs, une responsabilité pour faute de l'entrepreneur et que, d'autre part, la recourante ne se plaint pas, dans son recours en matière civile, de motivation insuffisante de l'arrêt d'appel en invoquant l' art. 29 al. 2 Cst. et qu'elle ne conteste pas valablement qu'elle ait opéré fautivement les déplacements de terre nécessitant le rétablissement d'un marchepied. En effet, en tant qu'elle se borne à affirmer qu'il est arbitraire de retenir, avec l'expert, que " la création du marchepied visait à réparer un défaut ", la recourante ne satisfait pas aux exigences de l' art. 106 al. 2 LTF et son grief est, partant, irrecevable. Il n'y a pas lieu de trancher s'il s'agit d'une responsabilité contractuelle fautive pour dommage accessoire ( Begleitschaden ; art. 365 al. 2 CO ; PETER GAUCH, Le contrat d'entreprise, adaptation française par Benoît Carron, 1999, n° 1858 p. 514) ou d'une responsabilité délictuelle (ou extracontractuelle) ( art. 41 CO ; GAUCH, op. cit., n° 854 p. 253). Il en découle que, contrairement à ce que soutient la recourante, il est sans pertinence de savoir si le coût du marchepied était ou non compris dans le prix forfaitaire et, partant, si la cour cantonale a correctement interprété ( art. 18 CO ) les art. 4.3 et 4.4 du contrat d'entreprise; de même, toute analogie avec le sort des candélabres - fait qui aurait été omis dans l'état de fait - est sans pertinence. En tant que la recourante soutient qu'il aurait alors fallu évacuer les terres excédentaires, pour ne pas empiéter sur les limites de la forêt, et qu'il en aurait coûté au moins 20'000 fr. (selon l'expert) et qu'elle aurait pu facturer ce coût aux maîtres de l'ouvrage au titre d'"engagement supplémentaire" selon l'art. 4.4, elle se base sur des faits non constatés: elle n'indique ni où elle a allégué ces faits, ni quelle pièce du dossier les établirait, de sorte que le Tribunal fédéral ne saurait en tenir compte.</w:t>
      </w:r>
    </w:p>
    <w:p>
      <w:r>
        <w:rPr>
          <w:b/>
        </w:rPr>
        <w:t>E. 4</w:t>
      </w:r>
    </w:p>
    <w:p>
      <w:r>
        <w:t>La cour cantonale a condamné l'entrepreneur à payer le montant de 19'298 fr. 70 correspond à la réalisation d'un abri (" couvert ") pour les containers à ordures, qui n'avait pas été exécuté par celui-ci, seule une place goudronnée ayant été aménagée.</w:t>
      </w:r>
    </w:p>
    <w:p>
      <w:r>
        <w:rPr>
          <w:b/>
        </w:rPr>
        <w:t>E. 4.1</w:t>
      </w:r>
    </w:p>
    <w:p>
      <w:r>
        <w:t>L'entrepreneur recourant soutient tout d'abord qu'était compris dans le prix forfaitaire la réalisation d'un emplacement, mais pas celle d'un abri et que les frais de celui-ci sont donc à la charge des maîtres de l'ouvrage. Il reproche à la cour cantonale d'avoir mal appliqué les principes relatifs à l'interprétation des contrats, le principe de la confiance étant applicable à l'interprétation des clauses contractuelles.</w:t>
      </w:r>
    </w:p>
    <w:p>
      <w:r>
        <w:rPr>
          <w:b/>
        </w:rPr>
        <w:t>E. 4.1.1</w:t>
      </w:r>
    </w:p>
    <w:p>
      <w:r>
        <w:t>Selon l' art. 18 al. 1 CO ,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rPr>
          <w:b/>
        </w:rPr>
        <w:t>E. 4.1.1.1</w:t>
      </w:r>
    </w:p>
    <w:p>
      <w:r>
        <w:t>Le juge doit rechercher, dans un premier temps, la réelle et commune intention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 ATF 118 II 365 consid. 1; 112 II 337 consid. 4a p. 342 s.). L'appréciation de ces indices concrets par le juge, selon son expérience générale de la vie, relève du fait ( ATF 118 II 365 consid. 1 p. 366 s.; arrêt 4A_98/2016 du 22 août 2016 consid. 3).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 Comme on l'a vu, les constatations de l'arrêt cantonal quant au déroulement de la procédure, qu'il s'agisse des conclusions des parties, des faits allégués ou des explications juridiques données par elles, des déclarations faites en cours de procès, des réquisitions de preuves, voire du contenu d'un témoignage, ressortissent aussi au fait et lient le Tribunal fédéral ( art. 105 al. 1 LTF ; ATF 140 III 16 consid. 1.3.1).</w:t>
      </w:r>
    </w:p>
    <w:p>
      <w:r>
        <w:rPr>
          <w:b/>
        </w:rPr>
        <w:t>E. 4.1.1.2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(arrêts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 s., 626 consid. 3.1 p. 632). Ce principe permet d'imputer à une partie le sens objectif de sa déclaration ou de son comportement, même si celui-ci ne correspond pas à sa volonté intime ( ATF 130 III 417 consid. 3.2 p. 424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 Relève aussi du droit le principe selon lequel l'interprétation subjective a le pas sur l'interprétation objective; dès lors, la violation de ce principe est sanctionnée par le Tribunal fédéral ( ATF 131 III 606 consid. 4.1 in fine ; 125 III 305 consid. 2b p. 308).</w:t>
      </w:r>
    </w:p>
    <w:p>
      <w:r>
        <w:rPr>
          <w:b/>
        </w:rPr>
        <w:t>E. 4.1.2</w:t>
      </w:r>
    </w:p>
    <w:p>
      <w:r>
        <w:t>La cour cantonale a faite sienne l'interprétation que l'expert a donnée aux différents documents: ainsi, selon l'expert, une " construction " pour les containers était prévue dans les plans d'enquêtes, les plans d'implantation et le plan de " façade et coupe " et, selon le procès-verbal d'une séance du 8 novembre 2007, la Municipalité avait rappelé qu'un abri fermé figurait sur les plans. La cour cantonale a donc considéré que la réalisation d'un abri avait été convenu par les parties. Ce faisant, la cour cantonale a, à la suite de l'expert, déterminé la volonté réelle des parties, comme la recourante l'a bien compris puisqu'elle estime qu'elle a ainsi résolu une question de fait. En tant que la recourante soutient qu'en dépit de cette constatation de fait, la cour cantonale aurait dû interpréter les clauses contractuelles selon le principe de la confiance, elle méconnaît les principes jurisprudentiels de l'interprétation des contrats. Elle ne peut rien déduire du sort des conduites pour l'éclairage et de la pose des candélabres, qui auraient été mis à la charge des maîtres de l'ouvrage, le sort de ces deux postes ayant fait l'objet d'un avenant au contrat.</w:t>
      </w:r>
    </w:p>
    <w:p>
      <w:r>
        <w:rPr>
          <w:b/>
        </w:rPr>
        <w:t>E. 4.2</w:t>
      </w:r>
    </w:p>
    <w:p>
      <w:r>
        <w:t>La recourante soutient ensuite que le coût de la réalisation de l'abri, allégué et prouvé par les maîtres de l'ouvrage, ne correspond pas au coût de l'abri qui était dessiné sur les plans. Elle se plaint d'appréciation arbitraire des faits et de violation du fardeau de la preuve.</w:t>
      </w:r>
    </w:p>
    <w:p>
      <w:r>
        <w:rPr>
          <w:b/>
        </w:rPr>
        <w:t>E. 4.2.1</w:t>
      </w:r>
    </w:p>
    <w:p>
      <w:r>
        <w:t>Lorsque tous les faits pertinents sont prouvés, il n'y a pas échec de la preuve, si bien que la question de la répartition du fardeau de la preuve (art. 8 C)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(arrêts 4A_566/2015 du 8 février 2016 consid. 4.3; 4A_443/2014 du 2 février 2015 consid. 4; ATF 119 III 103 consid. 1; 118 II 142 consid. 3a p. 147; 114 II 289 consid. 2a).</w:t>
      </w:r>
    </w:p>
    <w:p>
      <w:r>
        <w:rPr>
          <w:b/>
        </w:rPr>
        <w:t>E. 4.2.2</w:t>
      </w:r>
    </w:p>
    <w:p>
      <w:r>
        <w:t>La cour cantonale a confirmé l'appréciation des premiers juges, lesquels ont admis le coût fixé par l'expert de 19'298 fr. 70. Elle a estimé que la recourante n'a pas réussi à ébranler l'expertise, que l'ouvrage réalisé n'apparaît pas fondamentalement différent de celui figurant sur les plans et qu'il aurait appartenu à la recourante de solliciter un complément d'expertise si elle entendait contester les conclusions de l'expert.</w:t>
      </w:r>
    </w:p>
    <w:p>
      <w:r>
        <w:rPr>
          <w:b/>
        </w:rPr>
        <w:t>E. 4.2.3</w:t>
      </w:r>
    </w:p>
    <w:p>
      <w:r>
        <w:t>En tant que la recourante soutient que la simple comparaison entre le plan " façade et coupe " et la photographie de l'ouvrage réalisé démontre de façon évidente que celui-ci ne correspond pas à celui qui figurait dans les plans de l'enquête publique, elle ne démontre pas en quoi la cour cantonale aurait commis l'arbitraire en suivant l'expert et en considérant que l'ouvrage réalisé n'est pas fondamentalement différent de celui figurant sur les plans et donc que son coût ne serait pas différent. La cour cantonale étant parvenue à un résultat par appréciation des preuves, il ne saurait être question de violation des règles sur le fardeau de la preuve ( art. 8 CC ), lesquelles ne s'appliquent qu'en cas d'échec de la preuve.</w:t>
      </w:r>
    </w:p>
    <w:p>
      <w:r>
        <w:rPr>
          <w:b/>
        </w:rPr>
        <w:t>E. 5</w:t>
      </w:r>
    </w:p>
    <w:p>
      <w:r>
        <w:t>Enfin, la cour cantonale a refusé d'admettre en compensation la contre-créance invoquée par l'entrepreneur pour les travaux de goudronnage du chemin. L'entrepreneur recourant lui reproche une appréciation arbitraire des preuves et une fausse application des règles sur le fardeau de la preuve.</w:t>
      </w:r>
    </w:p>
    <w:p>
      <w:r>
        <w:rPr>
          <w:b/>
        </w:rPr>
        <w:t>E. 5.1</w:t>
      </w:r>
    </w:p>
    <w:p>
      <w:r>
        <w:t>La cour cantonale a retenu que l'entrepreneur a décidé de manière unilatérale de réaliser un tapis de finition (goudronnage) du chemin, considérant que l'enrobé prévu était quelque peu insatisfaisant et qu'il fallait améliorer la longévité du chemin. Elle n'a toutefois pas suivi les premiers juges qui avaient qualifié ces travaux de somptuaires, mais elle a admis que ces travaux apportent une plus-value à l'ouvrage puisque ce revêtement évitera très certainement dans un futur relativement proche des travaux de réparation, comme l'a retenu l'expert. Elle a toutefois considéré que si l'existence d'une plus-value existe, il n'est pas établi que cette plus-value corresponde au coût des travaux effectués, ce qu'il incombait à l'entrepreneur d'alléguer et de prouver (fardeau de l'allégation objectif et fardeau de la preuve). Elle a donc rejeté la créance invoquée en compensation, faute de preuve.</w:t>
      </w:r>
    </w:p>
    <w:p>
      <w:r>
        <w:rPr>
          <w:b/>
        </w:rPr>
        <w:t>E. 5.2</w:t>
      </w:r>
    </w:p>
    <w:p>
      <w:r>
        <w:t>Contrairement à ce que semble soutenir la recourante, la cour cantonale n'est pas partie d'une prestation complémentaire qui n'était pas comprise dans le prix forfaitaire et aurait justifié un prix supplémentaire, mais de travaux non commandés qui, selon GAUCH (op. cit., n. 1310-1311) pourraient justifier une créance en enrichissement illégitime, à calculer non pas en fonction de la plus-value objective qu'ils représentent, mais selon la valeur que la prestation non commandée a pour le maître. Lorsque la recourante reproche à la cour cantonale une fausse application des règles sur le fardeau de la preuve, soutenant qu'il appartenait au maître d'alléguer et de prouver que la plus-value résultant de ces travaux ne correspondait pas à leur coût, elle méconnaît que la cour cantonale a admis une prétention pour enrichissement illégitime, dont le fardeau de la preuve et le fardeau de l'allégation objectif incombent au prétendu créancier ( art. 8 CC ; ATF 106 II 29 consid. 2 p. 31; arrêt 4C.117/2006 du 18 juillet 2006 consid. 3). Puisque les maîtres de l'ouvrage n'ont pas commandé le goudronnage et n'ont donc pas voulu la plus-value en résultant, il n'est pas possible de tenir compte de la plus-value objective de ce goudronnage; il faut partir de la valeur subjective que ce goudronnage peut représenter pour les maîtres, soit son utilité subjective pour ceux-ci (GAUCH, op. cit., n. 1311). La thèse de la recourante selon laquelle il y aurait lieu d'appliquer les règles sur la réduction du prix en cas de moins-value de l'ouvrage (diminution du prix convenu proportionnelle à la moins-value) et de renverser les fardeaux de l'allégation et de la preuve sur le débiteur, ne peut être suivie: non seulement, aucune comparaison ne s'impose avec le prix convenu, mais surtout, comme les travaux n'ont pas été commandés, ils ont été exécutés en violation du contrat par l'entrepreneur et ne peuvent donner lieu qu'à une indemnisation au titre de l'enrichissement illégitime. C'est donc à raison que la cour cantonale a retenu l'existence d'une plus-value, mais a mis à la charge de l'entrepreneur l'absence d'allégation et l'absence de preuve de la valeur subjective de celle-ci. Lorsqu'elle se plaint d'appréciation arbitraire des preuves, la recourante ne démontre pas en quoi il est arbitraire de retenir qu'il n'est pas établi que la plus-value subjective correspondrait au coût des travaux de goudronnage. Il s'ensuit que c'est à raison que la cour cantonale a refusé d'admettre en compensation cette prétendue contre-créance de 29'030 fr. 50.</w:t>
      </w:r>
    </w:p>
    <w:p>
      <w:r>
        <w:rPr>
          <w:b/>
        </w:rPr>
        <w:t>E. 6</w:t>
      </w:r>
    </w:p>
    <w:p>
      <w:r>
        <w:t>En conclusion, le recours doit être rejeté, dans la mesure où il est recevable, aux frais de son auteur ( art. 66 al. 1 LTF ). La recourante devra également verser aux intimés, créanciers solidaires, une indemnité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