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374/2011 vom 1. September 2011</w:t>
      </w:r>
    </w:p>
    <w:p>
      <w:r>
        <w:t>Bundesgericht, 2011-09-01, DE</w:t>
      </w:r>
    </w:p>
    <w:p>
      <w:r>
        <w:rPr>
          <w:b/>
        </w:rPr>
        <w:t xml:space="preserve">Quelle: </w:t>
      </w:r>
      <w:r>
        <w:t>https://mcp.opencaselaw.ch/entscheid/bger_4A_374_2011</w:t>
      </w:r>
    </w:p>
    <w:p>
      <w:r>
        <w:t>FR: TF 4A 374/2011 du 1 septembre 2011</w:t>
      </w:r>
    </w:p>
    <w:p>
      <w:r>
        <w:t>IT: TF 4A 374/2011 del 1 settembre 2011</w:t>
      </w:r>
    </w:p>
    <w:p>
      <w:pPr>
        <w:pStyle w:val="Heading2"/>
      </w:pPr>
      <w:r>
        <w:t>Regeste</w:t>
      </w:r>
    </w:p>
    <w:p>
      <w:r>
        <w:t>Mängelrüge; Verjährung | Zivilprozess</w:t>
      </w:r>
    </w:p>
    <w:p>
      <w:pPr>
        <w:pStyle w:val="Heading2"/>
      </w:pPr>
      <w:r>
        <w:t>Erwägungen</w:t>
      </w:r>
    </w:p>
    <w:p>
      <w:r>
        <w:rPr>
          <w:b/>
        </w:rPr>
        <w:t>E. 1</w:t>
      </w:r>
    </w:p>
    <w:p>
      <w:r>
        <w:t>Das Schiedsgericht und die Parteien haben ihren Sitz bzw. Wohnsitz in der Schweiz; der Schiedsspruch wurde nach dem 1. Januar 2011 eröffnet; es besteht keine ausdrückliche Erklärung der Parteien, mit welcher sie gemäss Art. 353 Abs. 2 ZPO die Anwendbarkeit der Art. 176 ff. IPRG oder die Beschwerdemöglichkeit an ein kantonales Gericht (vgl. Art. 390 ZPO ) vereinbart haben; der Streitwert übersteigt Fr. 30'000.--. Der angefochtene Schiedsspruch unterliegt damit der Beschwerde in Zivilsachen an das Bundesgericht, ungeachtet der Frage, ob dafür der erwähnte Mindeststreitwert erforderlich ist (Art. 353, 389, 390 und 407 Abs. 3 ZPO; Art. 77 Abs. 1 Bst. b und Abs. 2 BGG). Das Bundesgericht kann in der Sache nicht selbst entscheiden (Art. 77 Abs. 2 i.V.m. Art. 107 Abs. 2 BGG ), anders als früher auch nicht ausnahmsweise (vgl. BGE 133 III 634 E. 1.3 zu Art. 36 KSG ); bei Gutheissung der Beschwerde kann es den Schiedsspruch nur aufheben und die Sache an das Schiedsgericht zurückweisen, weshalb die Begehren der Beschwerdeführerin auf Abweisung der Widerklage und Änderung der Kostenverteilung des Schiedsverfahrens unzulässig sind. Die Beschwerdeführerin schliesst hingegen nicht auf Rückweisung; da dies die einzig mögliche Folge bei Gutheissung der Beschwerde ist, schadet ihr diese Unterlassung nicht.</w:t>
      </w:r>
    </w:p>
    <w:p>
      <w:r>
        <w:rPr>
          <w:b/>
        </w:rPr>
        <w:t>E. 2.1</w:t>
      </w:r>
    </w:p>
    <w:p>
      <w:r>
        <w:t>Die Beschwerdegründe gegen einen Schiedsspruch sind enger als gegen ein staatliches Urteil; sie sind im Gesetz abschliessend aufgezählt ( Art. 393 ZPO ). Das Bundesgericht prüft sodann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der Herrschaft von Art. 90 Abs. 1 lit. b aOG stellte ( BGE 134 III 186 E. 5). Der Beschwerdeführer muss die einzelnen Beschwerdegründe, die nach seinem Dafürhalten erfüllt sind, benennen und anhand des angefochtenen Schiedsspruches im Detail aufzeigen, warum sie erfüllt sind (vgl. BGE 128 III 50 E. 1c).</w:t>
      </w:r>
    </w:p>
    <w:p>
      <w:r>
        <w:rPr>
          <w:b/>
        </w:rPr>
        <w:t>E. 2.2</w:t>
      </w:r>
    </w:p>
    <w:p>
      <w:r>
        <w:t>Die Beschwerdeführerin erklärt einleitend zur Beschwerdebegründung, sie berufe sich auf "Willkür (Verletzung klaren Rechts, insbesondere von Art. 8 ZGB )" sowie eine "Verletzung des Grundsatzes der Gleichbehandlung und des rechtlichen Gehörs, insbesondere des Überraschungsverbots".</w:t>
      </w:r>
    </w:p>
    <w:p>
      <w:r>
        <w:rPr>
          <w:b/>
        </w:rPr>
        <w:t>E. 2.3</w:t>
      </w:r>
    </w:p>
    <w:p>
      <w:r>
        <w:t>Gegen den Schiedsspruch kann vorgebracht werden, er sei im Ergebnis willkürlich, weil er auf offensichtlich aktenwidrigen tatsächlichen Feststellungen oder auf einer offensichtlichen Verletzung des Rechts oder der Billigkeit beruht (Art. 393 Bst. e ZPO); dieser Beschwerdegrund wurde aus dem früheren Konkordat übernommen (Art. 36 Bst. f aKSG; Botschaft zur Schweizerischen Zivilprozessordnung vom 28. Juni 2006, Ziff. 5.25.8 zu Art. 391 VE, BBl 2006 7405). Offensichtlich aktenwidrige tatsächliche Feststellungen in diesem Sinn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ist nicht mit Beweiswürdigung gleichzusetzen, sondern liegt nur vor, wenn der Richter bei der Beweiswürdigung von unrichtigen tatsächlichen Prämissen ausgeht; nicht das Ergebnis der Beweiswürdigung und die darin liegenden Wertungen sind Gegenstand der Willkürrüge, sondern durch Akten unstreitig widerlegte Tatsachenfeststellungen ( BGE 131 I 45 E. 3.6). Mit offensichtlicher Verletzung des Rechts ist nur eine Verletzung des materiellen Rechts gemeint und nicht eine solche des Verfahrensrechtes ( BGE 112 Ia 350 E. 2). Eine offensichtliche Verletzung der Billigkeit schliesslich kann nur gerügt werden, wenn das Schiedsgericht befugt war, nach Billigkeit zu entscheiden, oder wenn es eine Norm angewendet hat, die auf Billigkeit verweist ( BGE 107 Ib 63 ).</w:t>
      </w:r>
    </w:p>
    <w:p>
      <w:r>
        <w:rPr>
          <w:b/>
        </w:rPr>
        <w:t>E. 2.4</w:t>
      </w:r>
    </w:p>
    <w:p>
      <w:r>
        <w:t>Ein Schiedsspruch kann sodann angefochten werden, wenn der Grundsatz der Gleichbehandlung der Parteien oder der Grundsatz des rechtlichen Gehörs verletzt wurde (Art. 393 Bst. d ZPO); diese Regel wurde aus der internationalen Schiedsgerichtsbarkeit (Art. 190 Abs. 2 Bst. d IPRG) übernommen (Botschaft, a.a.O.).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 BGE 130 III 35 E. 5). Diese Zurückhaltung gilt grundsätzlich auch für die interne Schiedsgerichtsbarkeit; die aus der internationalen Schiedsgerichtsbarkeit übernommene Regel soll dort nicht anders ausgelegt werden.</w:t>
      </w:r>
    </w:p>
    <w:p>
      <w:r>
        <w:rPr>
          <w:b/>
        </w:rPr>
        <w:t>E. 3</w:t>
      </w:r>
    </w:p>
    <w:p>
      <w:r>
        <w:t>Die Beschwerdebegründung besteht in zahlreichen aneinandergereihten, teilweise vermischten oder lapidaren Rügen. Es wird jeweils weder ein gesetzlicher Beschwerdegrund angerufen noch anhand des Schiedsspruches im Detail aufgezeigt, warum er erfüllt ist. Eine solche appellatorische Kritik genügt den gesetzlichen Anforderungen an die Begründung einer Beschwerde gegen einen Schiedsspruch nicht. Ungeachtet dessen betrifft die Kritik im Wesentlichen die Anwendung prozessrechtlicher Bestimmungen, insbesondere jene der SIA-Richtlinie 150, namentlich in Bezug auf Behauptungslast und Verhandlungsmaxime; solche Rügen sind von vornherein unzulässig. Gerügt wird auch eine willkürliche Anwendung von Art. 8 ZGB , welcher die Folgen der Beweislosigkeit regelt und nicht die prozessuale Beweisführungslast (vgl. KUMMER, Berner Kommentar, N. 33 zu Art. 8 ZGB ); die Beschwerdeführerin zeigt aber nicht auf, wo der Schiedsrichter diese Regel angewendet und eine unbewiesene Tatsache in willkürlicher Anwendung der Beweislastverteilung festgehalten hätte. Die Kritik richtet sich sodann auch gegen den Sachverhalt, der dem Schiedsspruch zu Grunde liegt; es wird aber nicht aufgezeigt, inwieweit eine offensichtliche Aktenwidrigkeit vorliegt. Schliesslich ist nicht ersichtlich, worin für die Beschwerdeführerin eine überraschende Rechtsanwendung liegen sollte, namentlich in der Abweisung der von ihr erhobenen Verjährungseinrede; in der Beschwerde wird die Rüge mit einer Verletzung der Verhandlungsmaxime in Zusammenhang gebracht, welche als prozessrechtliche Regel der Überprüfung aber entzogen ist.</w:t>
      </w:r>
    </w:p>
    <w:p>
      <w:r>
        <w:rPr>
          <w:b/>
        </w:rPr>
        <w:t>E. 4</w:t>
      </w:r>
    </w:p>
    <w:p>
      <w:r>
        <w:t>Die Beschwerde ist abzuweisen, soweit überhaupt darauf eingetreten werden kann. Die Beschwerdeführerin trägt die Gerichts- und Parteikosten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