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373/2014 vom 3. November 2014</w:t>
      </w:r>
    </w:p>
    <w:p>
      <w:r>
        <w:t>Bundesgericht, 2014-11-03, DE</w:t>
      </w:r>
    </w:p>
    <w:p>
      <w:r>
        <w:rPr>
          <w:b/>
        </w:rPr>
        <w:t xml:space="preserve">Quelle: </w:t>
      </w:r>
      <w:r>
        <w:t>https://mcp.opencaselaw.ch/entscheid/bger_4A_373_2014</w:t>
      </w:r>
    </w:p>
    <w:p>
      <w:r>
        <w:t>FR: TF 4A 373/2014 du 3 novembre 2014</w:t>
      </w:r>
    </w:p>
    <w:p>
      <w:r>
        <w:t>IT: TF 4A 373/2014 del 3 novembre 2014</w:t>
      </w:r>
    </w:p>
    <w:p>
      <w:pPr>
        <w:pStyle w:val="Heading2"/>
      </w:pPr>
      <w:r>
        <w:t>Regeste</w:t>
      </w:r>
    </w:p>
    <w:p>
      <w:r>
        <w:t>Allgemeine Versicherungsbedingungen, Vertragsauslegung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Angefochten werden sowohl das Vorurteil vom 9. Januar 2013 als auch das Urteil vom 16. Mai 2014 des Handelsgerichts des Kantons Zürich. Bei Letzterem handelt es sich um einen Endentscheid im Sinne von Art. 90 BGG , welcher das Verfahren abschliesst. Beim angefochtenen Vorurteil, welches die Aktivlegitimation der Beschwerdegegnerin bezüglich der von ihr geltend gemachten Forderung bejaht, handelt es sich um einen selbstständig eröffneten Vor- und Zwischenentscheid gemäss Art. 93 Abs. 1 BGG . Dieser Entscheid war nicht direkt angefochten worden und ist damit durch Beschwerde gegen den Endentscheid anfechtbar, auf dessen Inhalt er sich auswirkt ( Art. 93 Abs. 3 BGG ). Beide Entscheide ergingen von einem oberen kantonalen Gericht, das als Fachgericht für handelsrechtliche Streitigkeiten und als einzige kantonale Instanz eingesetzt ist ( Art. 75 Abs. 2 lit. b BGG ). Für Beschwerden gegen Urteile kantonaler Handelsgerichte besteht kein Streitwerterfordernis ( Art. 74 Abs. 2 lit. b BGG ; BGE 139 III 67 E. 1.2 S. 69). Die übrigen Sachurteilsvoraussetzungen geben zu keiner Bemerkung Anlass. Auf die Beschwerde in Zivilsachen ist - unter Vorbehalt einer hinlänglichen Begründung ( Art. 42 Abs. 2 und Art. 106 Abs. 2 BGG ) -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 Neue Tatsachen und Beweismittel dürfen nur so weit vorgebracht werden, als erst der Entscheid der Vorinstanz dazu Anlass gibt ( Art. 99 Abs. 1 BGG ). In der Beschwerde ist darzutun, inwiefern die erwähnte Voraussetzung für eine nachträgliche Einreichung von Beweismitteln erfüllt sein soll ( BGE 134 V 223 E. 2.2.1 S. 226; 133 III 393 E. 3 S. 395).</w:t>
      </w:r>
    </w:p>
    <w:p>
      <w:r>
        <w:rPr>
          <w:b/>
        </w:rPr>
        <w:t>E. 3</w:t>
      </w:r>
    </w:p>
    <w:p>
      <w:r>
        <w:t>Die Beschwerdeführerin macht zunächst geltend, die Vorinstanz habe zu Unrecht die Aktivlegitimation der Beschwerdegegnerin bejaht. Ihre Allgemeinen Versicherungsbedingungen (nachfolgend: AVB) würden in Art. 23 Abs. 3 ein Zessionsverbot vorsehen, wonach "ohne vorgängige Zustimmung der Versicherung A.________ (...) der Versicherte nicht berechtigt [sei], Entschädigungsansprüche anzuerkennen oder abzufinden und den Befreiungsanspruch aus dieser Versicherung an den Geschädigten oder an Dritte abzutreten". Aus den Verhandlungen der Beschwerdeführerin mit der Beschwerdegegnerin über die Deckungsfrage lasse sich kein Verzicht auf das vertragliche Zessionsverbot und damit keine Zustimmung zur erfolgten Zession ableiten. Indem die Vorinstanz dennoch einen konkludenten Verzicht angenommen habe, habe sie die durch das Bundesgericht in ständiger Rechtsprechung entwickelten Regeln über die Auslegung von Willenserklärungen missachtet und damit Bundesrecht verletzt. Die Vorinstanz hielt in ihrem Vorurteil vom 9. Januar 2013 fest, gestützt auf das vertragliche Abtretungsverbot, sei die Abtretungserklärung zwischen dem Versicherten und der Beschwerdegegnerin grundsätzlich ungültig. Aus dem Verhalten der Beschwerdeführerin ergebe sich jedoch, dass diese die Zession stillschweigend genehmigt habe; diese habe nämlich der Beschwerdegegnerin mit Schreiben vom 27. Juni 2007 mitgeteilt, ohne die Abtretungserklärung "nicht berechtigt [zu sein], mit der [Beschwerdegegnerin] die Deckungsfrage zu diskutieren". Für die Zustellung der Abtretungserklärung habe sich die Beschwerdeführerin sodann mit Schreiben vom 9. Juli 2007 und 20. November 2009 bedankt, in welchen sie jeweils Ausführungen zu Art. 7 lit. k AVB (Deckungsausschluss; Obhutsklausel) gemacht habe, es aber unterlassen habe, in irgendeiner Art auf das Zessionsverbot oder eine Nichtgenehmigung der Zession hinzuweisen. Die Beschwerdegegnerin habe demnach davon ausgehen dürfen, die Beschwerdeführerin werde sich nicht auf das Abtretungsverbot berufen bzw. sie stimme der Abtretung (stillschweigend) zu. Wie die Beschwerdeführerin zutreffend vorbringt, hat blosse Passivität nicht die Bedeutung einer Zustimmung (vgl. BGE 129 III 476 E. 1.4 S. 478; 123 III 53 E. 5a S. 59). Es ist somit fraglich, ob allein gestützt darauf, dass die Beschwerdeführerin in ihrer Korrespondenz mit der Beschwerdegegnerin nicht mehr auf die Abtretungsfrage zurückgekommen ist, von einem konkludenten Verzicht auf das vertragliche Zessionsverbot (Art. 23 Abs. 3 AVB) bzw. von einer Zustimmung der Beschwerdeführerin zur erfolgten Zession ausgegangen werden durfte. Diese Frage kann jedoch vorliegend offen bleiben, da, wie die nachfolgenden Erwägungen zeigen werden, ohnehin keine Leistungspflicht der Beschwerdeführerin für den niedergebrannten Lageranbau besteht. Damit erübrigt es sich, auf die weiteren Vorbringen bezüglich der (fehlenden) Aktivlegitimation der Beschwerdegegnerin einzugehen.</w:t>
      </w:r>
    </w:p>
    <w:p>
      <w:r>
        <w:rPr>
          <w:b/>
        </w:rPr>
        <w:t>E. 4</w:t>
      </w:r>
    </w:p>
    <w:p>
      <w:r>
        <w:t>In der Sache macht die Beschwerdeführerin geltend, die vorinstanzliche Auslegung von Art. 7 lit. k AVB erweise sich als bundesrechtswidrig. Art. 7 lit. k AVB umfasse nämlich sowohl bewegliche als auch unbewegliche "Sachen", weshalb für den vom Versicherten gemieteten und durch den Brand zerstörten Lageranbau keine Versicherungsdeckung bestehe.</w:t>
      </w:r>
    </w:p>
    <w:p>
      <w:r>
        <w:rPr>
          <w:b/>
        </w:rPr>
        <w:t>E. 4.1</w:t>
      </w:r>
    </w:p>
    <w:p>
      <w:r>
        <w:t>Im Kern des Streits ist somit nach wie vor die Bedeutung von Art. 7 lit. k AVB. Die Bestimmung hat folgenden Wortlaut: "Art. 7 Einschränkungen des Deckungsumfanges Von der Versicherung ausgeschlossen sind: [...] k) Ansprüche aus -       Schäden an Sachen, die ein Versicherter zum Gebrauch, zur Bearbeitung,              Verwahrung oder Beförderung oder aus andern Gründen (z.B. in Kommisi-              on, zu Ausstellungszwecken) übernommen oder die er gemietet oder ge-              pachtet hat, -       Schäden, die an Sachen infolge Ausführung oder Unterlassung einer Tätig-       keit eines Versicherten an oder mit ihnen (z.B. Bearbeitung, Reparatur, Be-       laden oder Entladen eines Fahrzeuges) entstanden sind; [...]."</w:t>
      </w:r>
    </w:p>
    <w:p>
      <w:r>
        <w:rPr>
          <w:b/>
        </w:rPr>
        <w:t>E. 4.2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132 III 268 E. 2.3.2 S. 274, 626 E. 3.1 S. 632; 131 III 606 E. 4.1 S. 611; 130 III 66 E. 3.2 S. 71, 417 E. 3.2 S. 424 f.; 129 III 118 E. 2.5 S. 122;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132 III 24 E. 4 S. 28, 268 E. 2.3.2 S. 274 f., 626 E. 3.1 S. 632; 131 III 606 E. 4.1 S. 611; 130 III 66 E. 3.2 S. 71, 417 E. 3.2 S. 424 f.; je mit Hinweisen).</w:t>
      </w:r>
    </w:p>
    <w:p>
      <w:r>
        <w:rPr>
          <w:b/>
        </w:rPr>
        <w:t>E. 4.3</w:t>
      </w:r>
    </w:p>
    <w:p>
      <w:r>
        <w:t>Die Vorinstanz stellte zunächst fest, ein übereinstimmender wirklicher Wille der Parteien in Bezug auf die Obhutsklausel sei nicht ermittelbar. Die blosse Behauptung, es habe (nicht) dem übereinstimmenden Willen der Parteien entsprochen, dass Schäden an gemieteten Räumlichkeiten nicht gedeckt seien, genüge den Anforderungen an die Substanziierung nicht. Das wird von der Beschwerdeführerin nicht gerügt. Sie macht einzig geltend, die Vorinstanz hätte die beiden früheren Versicherungsanträge des Versicherten vom 8. August 1991 und vom 1. Oktober 1996 berücksichtigen sollen, aus welchen hervorgehe, dass der Versicherte je im Abschnitt über zusätzlich versicherbare "weitere Sondergefahren bzw. Deckungserweiterungen" die Deckung von "Schäden an gemieteten, geleasten oder gepachteten Grundstücken, Gebäuden und Räumlichkeiten" nicht gewählt habe. Gestützt darauf habe sich der Versicherte bei Stellung des Antrages vom 3. Februar 2004 zumindest bewusst sein müssen, dass die Deckung von Mieterschäden an Immobilien separat zu versichern gewesen wäre. Damit argumentiert die Beschwerdeführerin jedoch vertrauenstheoretisch.</w:t>
      </w:r>
    </w:p>
    <w:p>
      <w:r>
        <w:rPr>
          <w:b/>
        </w:rPr>
        <w:t>E. 4.4</w:t>
      </w:r>
    </w:p>
    <w:p>
      <w:r>
        <w:t>Nachdem kein übereinstimmender wirklicher Parteiwille festgestellt werden konnte, ermittelte die Vorinstanz den mutmasslichen Willen der Parteien und prüfte, wie diese die Obhutsklausel bzw. insbesondere den darin verwendeten Begriff "Sachen" nach Treu und Glauben haben verstehen dürfen und müssen.</w:t>
      </w:r>
    </w:p>
    <w:p>
      <w:r>
        <w:rPr>
          <w:b/>
        </w:rPr>
        <w:t>E. 4.4.1</w:t>
      </w:r>
    </w:p>
    <w:p>
      <w:r>
        <w:t>Dabei ging sie in erster Linie vom Wortlaut der Bestimmung aus und hielt fest, dieser erweise sich grundsätzlich als eindeutig und klar: Von der Versicherungsdeckung seien "Sachen" ausgeschlossen, die der Versicherungsnehmer gemietet habe. Allerdings ergebe sich nicht, ob der Begriff "Sachen" sowohl bewegliche als auch unbewegliche Sachen einschliesse. Die AVB würden den Begriff an zahlreichen Stellen verwenden, ohne diesen jedoch zu definieren. Entsprechend würden sich die jeweiligen Bestimmungen sowohl auf bewegliche als auch auf unbewegliche Sachen anwenden lassen. Gestützt darauf hielt die Vorinstanz zutreffend fest, dass der Wortlaut für die Auslegung nicht entscheidend sein könne. Dies stellt die Beschwerdeführerin auch nicht in Abrede. Sie bringt selber vor, dass der Begriff sowohl bewegliche als auch unbewegliche Sachen umfassen würde, wobei sie allerdings zu Recht darauf hindeutet, dass der in Art. 7 lit. k AVB verwendete Begriff Pacht in der Regel im Zusammenhang mit unbeweglichen Sachen verwendet wird.</w:t>
      </w:r>
    </w:p>
    <w:p>
      <w:r>
        <w:rPr>
          <w:b/>
        </w:rPr>
        <w:t>E. 4.4.2</w:t>
      </w:r>
    </w:p>
    <w:p>
      <w:r>
        <w:t>Entscheidend ist aber die Systematik der AVB und die Art bzw. der Zweck der Versicherung: Für die Vorinstanz war massgeblich, dass ein Widerspruch bestehe zwischen dem Deckungsausschluss in Art. 7 lit. k AVB und Art. 1 AVB. Art. 1 AVB steht im Kapitel "Deckungsumfang" und regelt die "Versicherte Haftpflicht". Die Vorinstanz bezog sich namentlich auf Art. 1 lit. b Ziff. 1 AVB, wonach die Versicherung "ohne besondere Vereinbarung auch die Haftpflicht als (...) Mieter (...) von Grundstücken, Gebäuden, Räumlichkeiten und Anlagen, die ganz oder teilweise dem versicherten Betrieb dienen, sowie als Mieter von anderen Räumlichkeiten" umfasse. Die beiden Bestimmungen würden sich demnach nicht in Einklang bringen lassen, wenn unter "Sachen" in der Obhutsklausel sowohl Mobilien als auch Immobilien zu verstehen wären; dieser Widerspruch lasse sich nur auflösen, wenn in Art. 7 lit. k AVB lediglich bewegliche Sachen von der Deckung ausgeschlossen werden. Dieser Widerspruch besteht nicht. Die Vorinstanz blendet aus, dass es sich vorliegend um eine Betriebshaftpflichtversicherung handelt. Eine solche bezweckt, wie der Name schon verdeutlicht, die Haftungsrisiken, die aus dem Betrieb eines Geschäfts entstehen, zu decken. Eine Haftpflicht kann namentlich aus betrieblichen Abläufen entstehen, aber auch als Folge einer (Betriebs-) gebäudehaftpflicht. Der massgebliche Versicherungsantrag vom 3. Februar 2004 enthält unter dem Titel "Umschrieb des Deckungsumfangs" folgende Definition: "Versicherte Haftpflicht Die Versicherung erstreckt sich auf die gesetzliche Haftpflicht für Personen- und Sachschäden aus dem -       Anlagerisiko (Bestand und Unterhalt der dem Betrieb dienenden Grund-              stücke, Gebäude und Anlagen) -       Betriebsrisiko (betriebliche Vorgänge und Arbeitsabläufe) -       Produkterisiko (Produkte und Arbeitsleistungen) " Gedeckt ist also die gesetzliche Haftpflicht aus dem Bestand und Unterhalt des dem Betrieb dienenden Gebäudes. Diese im Versicherungsantrag umschriebene Haftpflicht stimmt mit dem in Art. 1 lit. b Ziff. 1 AVB genannten Deckungsumfang überein. Die von der Vorinstanz hervorgehobene Formulierung ("als [...] Mieter") stellt lediglich klar, dass es im Hinblick auf diese (Betriebs-) gebäudehaftpflicht nicht darauf ankommt, ob der Betriebsinhaber Eigentümer oder Mieter/ Pächter des Gebäudes ist. Die Beschwerdeführerin bringt somit zu Recht vor, dass die gemäss Art. 1 AVB versicherte Haftpflicht die Haftung gegenüber Dritten für das Anlagerisiko als Mieter von Grundstücken, Gebäuden, Räumlichkeiten und Anlagen deckt, wogegen Art. 7 lit. k AVB nur die Haftung des Betriebsinhabers als Mieter gegenüber dem Vermieter und Eigentümer für Schäden an diesen Objekten selbst ausschliesst. Es geht mithin bei der Umschreibung der versicherten Haftpflicht in Art. 1 AVB um durch das Gebäude verursachte Schäden und nicht um Schäden am Gebäude. Die Beschwerdeführerin zeigt mit genügendem Aktenhinweis auf, dies bereits im vorinstanzlichen Verfahren vorgebracht zu haben (vgl. ihre Duplik auf S. 5 Ziff. 4.3, S. 13 Ziff. 6.6 sowie auf S. 16 Ziff. 8.1). Die Vorinstanz hat diese Einwände vollständig übergangen und sich nicht damit auseinandergesetzt, weshalb sie zu einem falschen Auslegungsergebnis gekommen ist. Diese Abgrenzung musste auch dem Versicherten klar sein. Wie die Beschwerdeführerin zutreffend vorbringt, hat er in seinen früheren Versicherungsanträgen aus den Jahren 1991 und 1996 die ausdrücklich offerierte Deckungserweiterung für "Schäden an gemieteten, geleasten oder gepachteten Grundstücken, Gebäuden und Räumlichkeiten" bewusst nicht gewählt. Die früheren Versicherungsanträge stimmen im Aufbau mit dem aktuellen Versicherungsantrag überein, auch wenn eine ausdrückliche Rubrik wie in den früheren Anträgen, in welcher die Deckungserweiterung hätte angekreuzt werden können, fehlte.</w:t>
      </w:r>
    </w:p>
    <w:p>
      <w:r>
        <w:rPr>
          <w:b/>
        </w:rPr>
        <w:t>E. 4.5</w:t>
      </w:r>
    </w:p>
    <w:p>
      <w:r>
        <w:t>Die Auslegung der Vorinstanz nach dem Vertrauensprinzip erweist sich damit als bundesrechtswidrig. Nicht nur bewegliche, sondern auch unbewegliche Mietsachen sind von der Haftpflicht ausgeschlossen. Vom Versicherungsnehmer verursachte Schäden an von ihm gemieteten Geschäftsräumlichkeiten sind somit nicht gedeckt, womit bezüglich des niedergebrannten Lageranbaus keine Haftung besteht. Bei diesem Auslegungsergebnis erübrigen sich Ausführungen zur Verjährung der von der Beschwerdegegnerin eingeklagten Forderung.</w:t>
      </w:r>
    </w:p>
    <w:p>
      <w:r>
        <w:rPr>
          <w:b/>
        </w:rPr>
        <w:t>E. 5</w:t>
      </w:r>
    </w:p>
    <w:p>
      <w:r>
        <w:t>Nach dem Gesagten erweist sich die Beschwerde als begründet. Sie ist gutzuheissen.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