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4A_372/2020 vom 18. November 2020</w:t>
      </w:r>
    </w:p>
    <w:p>
      <w:r>
        <w:t>Bundesgericht, 2020-11-18, FR</w:t>
      </w:r>
    </w:p>
    <w:p>
      <w:r>
        <w:rPr>
          <w:b/>
        </w:rPr>
        <w:t xml:space="preserve">Quelle: </w:t>
      </w:r>
      <w:r>
        <w:t>https://mcp.opencaselaw.ch/entscheid/bger_4A_372_2020</w:t>
      </w:r>
    </w:p>
    <w:p>
      <w:r>
        <w:t>FR: TF 4A_372/2020 du 18 novembre 2020</w:t>
      </w:r>
    </w:p>
    <w:p>
      <w:r>
        <w:t>IT: TF 4A_372/2020 del 18 novembre 2020</w:t>
      </w:r>
    </w:p>
    <w:p>
      <w:pPr>
        <w:pStyle w:val="Heading2"/>
      </w:pPr>
      <w:r>
        <w:t>Erwägungen</w:t>
      </w:r>
    </w:p>
    <w:p>
      <w:r>
        <w:rPr>
          <w:b/>
        </w:rPr>
        <w:t>E. 1.1</w:t>
      </w:r>
    </w:p>
    <w:p>
      <w:r>
        <w:t>Interjeté dans le délai fixé par la loi ( art. 100 al. 1 LTF ) et dirigé contre une décision finale ( art. 90 LTF ) rendue sur appel par le tribunal supérieur du canton du Valais ( art. 75 LTF ) dans une affaire civile ( art. 72 al. 1 LTF ) dont la valeur litigieuse est de 30'000 fr. ( art. 51 al. 1 let. a et al. 3 et art. 74 al. 1 let. b LTF ), le recours en matière civile est en principe recevable.</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p. 317; 134 III 379 consid. 1.3 p. 383; 133 III 489 consid. 3.1 p. 489 s.).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p. 383; 133 III 489 consid. 3.2 p. 490).</w:t>
      </w:r>
    </w:p>
    <w:p>
      <w:r>
        <w:t>En l'espèce, la recourante a, à juste titre, uniquement conclu au renvoi de la cause à l'autorité précédente. Dans la mesure où l'admission du recours conduirait à ce qu'une nouvelle expertise judiciaire ou un complément d'expertise soit ordonné, le Tribunal fédéral ne serait alors, en effet, pas en mesure de statuer lui-même sur le fond.</w:t>
      </w:r>
    </w:p>
    <w:p>
      <w:r>
        <w:rPr>
          <w:b/>
        </w:rPr>
        <w:t>E. 2.1</w:t>
      </w:r>
    </w:p>
    <w:p>
      <w:r>
        <w:t>Les mémoires de recours destinés au Tribunal fédéral doivent être motivés. L' art. 42 al. 2 LTF requiert qu'ils exposent succinctement en quoi l'acte attaqué viole le droit. La jurisprudence exige sur cette base, sous peine d'irrecevabilité, d'argumenter sur tous les motifs de l'arrêt attaqué dans la mesure où chacun d'eux suffit à sceller le sort de la cause ( ATF 138 III 728 consid. 3.4 p. 735; 133 IV 119 consid. 6.3 p. 120 s. et les références citées).</w:t>
      </w:r>
    </w:p>
    <w:p>
      <w:r>
        <w:rPr>
          <w:b/>
        </w:rPr>
        <w:t>E. 2.2</w:t>
      </w:r>
    </w:p>
    <w:p>
      <w:r>
        <w:t>En l'espèce, la recourante a fait grief à l'autorité précédente de ne pas avoir ordonné de nouvelle expertise judiciaire et considère qu'elle a, par conséquent, été dans l'impossibilité de prouver la nécessité de travaux plus importants que ceux initialement prévus.</w:t>
      </w:r>
    </w:p>
    <w:p>
      <w:r>
        <w:t>En revanche, la recourante omet, dans son recours, de contester également de manière suffisante un autre motif développé par la cour cantonale et qui scelle également le sort de la cause, soit le fait qu'elle n'a pas suffisamment allégué en justice la quotité de sa créance.</w:t>
      </w:r>
    </w:p>
    <w:p>
      <w:r>
        <w:t>Elle revient certes sur ce motif dans sa réplique. Toutefois, une telle argumentation est tardive, dans la mesure où elle aurait pu déjà être présentée au stade du recours ( ATF 135 I 19 consid. 2.2 p. 21 et les arrêts cités) et où ladite réplique a été déposée après l'expiration du délai de recours ( ATF 142 I 135 consid. 1.2.1 p. 142). Partant, il ne peut en être tenu compte.</w:t>
      </w:r>
    </w:p>
    <w:p>
      <w:r>
        <w:rPr>
          <w:b/>
        </w:rPr>
        <w:t>E. 3</w:t>
      </w:r>
    </w:p>
    <w:p>
      <w:r>
        <w:t>Au vu de ce qui précède, le recours doit être déclaré irrecevable.</w:t>
      </w:r>
    </w:p>
    <w:p>
      <w:r>
        <w:t>Les frais judiciaires et les dépens sont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