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4A_372/2008 vom 11. November 2008</w:t>
      </w:r>
    </w:p>
    <w:p>
      <w:r>
        <w:t>Bundesgericht, 2008-11-11, DE</w:t>
      </w:r>
    </w:p>
    <w:p>
      <w:r>
        <w:rPr>
          <w:b/>
        </w:rPr>
        <w:t xml:space="preserve">Quelle: </w:t>
      </w:r>
      <w:r>
        <w:t>https://mcp.opencaselaw.ch/entscheid/bger_4A_372_2008</w:t>
      </w:r>
    </w:p>
    <w:p>
      <w:r>
        <w:t>FR: TF 4A_372/2008 du 11 novembre 2008</w:t>
      </w:r>
    </w:p>
    <w:p>
      <w:r>
        <w:t>IT: TF 4A_372/2008 del 11 novembre 2008</w:t>
      </w:r>
    </w:p>
    <w:p>
      <w:pPr>
        <w:pStyle w:val="Heading2"/>
      </w:pPr>
      <w:r>
        <w:t>Erwägungen</w:t>
      </w:r>
    </w:p>
    <w:p>
      <w:r>
        <w:rPr>
          <w:b/>
        </w:rPr>
        <w:t>E. 1</w:t>
      </w:r>
    </w:p>
    <w:p>
      <w:r>
        <w:t>Entscheide, in denen lediglich über das anwendbare Recht entschieden wird, sind Zwischenentscheide im Sinne von Art. 93 BGG (vgl. BGE 129 III 288 E. 2.3 S. 290). Vorliegend hat die Vorinstanz aber nicht nur über das anwendbare Recht entschieden, sondern im Anschluss daran die Passivlegitimation der Beschwerdegegner verneint und die Klageabweisung bestätigt. Damit hat sie den Anspruch des Beschwerdeführers materiell beurteilt. Der angefochtene Entscheid schliesst somit das Verfahren ab. Demnach handelt es sich entgegen der Rechtsmittelbelehrung der Vorinstanz und den Ausführungen des Beschwerdeführers nicht um einen Zwischenentscheid im Sinne von Art. 93 BGG , sondern um einen Endentscheid im Sinne von Art. 90 BGG . Da sämtliche Sachurteilsvoraussetzungen erfüllt sind, ist die Beschwerde grundsätzlich zulässig.</w:t>
      </w:r>
    </w:p>
    <w:p>
      <w:r>
        <w:rPr>
          <w:b/>
        </w:rPr>
        <w:t>E. 2</w:t>
      </w:r>
    </w:p>
    <w:p>
      <w:r>
        <w:t>Der Beschwerdeführer rügt zunächst eine unrichtige Feststellung des Sachverhalts, da die Vorinstanz eine willkürliche Beweiswürdigung vorgenommen habe.</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 140 E. 5.4 S. 148 ; 133 I 149 E. 3.1; 132 III 209 E. 2.1; je mit Hinweisen).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2.2</w:t>
      </w:r>
    </w:p>
    <w:p>
      <w:r>
        <w:t>Die Vorinstanz ging gestützt auf die Aussagen des Beschwerdeführers und der mitfahrenden Personen davon aus, dass der Beschwerdeführer durch das eingeschaltete Fernlicht des entgegenkommenden Fahrzeuges geblendet worden sei und in der Folge falsch reagiert habe. Es habe kein ausschliessliches Fehlverhalten des Beschwerdeführers vorgelegen. Das vom Beschwerdeführer gelenkte Fahrzeug sei nicht unabhängig von der Fahrweise des blendenden, entgegenkommenden Fahrzeuges von der Fahrbahn abgekommen. Das entgegenkommende Fahrzeug habe keine untergeordnete, rein zufällige Rolle gespielt. Das Blenden des Fernlichts habe den Unfall mitverursacht.</w:t>
      </w:r>
    </w:p>
    <w:p>
      <w:r>
        <w:rPr>
          <w:b/>
        </w:rPr>
        <w:t>E. 2.3</w:t>
      </w:r>
    </w:p>
    <w:p>
      <w:r>
        <w:t>Inwiefern diese Sachverhaltsfeststellungen der Vorinstanz willkürlich sein sollten, ist nicht dargetan, zumal der Beschwerdeführer in der kantonalen Berufungsschrift den vom Kantonsgericht festgestellten Sachverhalt explizit bestätigte, wonach das Fernlicht des entgegenkommenden Fahrzeuges und seine darauf folgende Reaktion zum Unfall führten. Mit den Vorbringen zu den Aussagen der drei Mitfahrer E.________, F.________ und G.________ sowie mit den Ausführungen zu seinen eigenen Behauptungen im Schriftsatz an das Kantonsgericht vom 23. November 2006 vermag der Beschwerdeführer keine Willkür aufzuzeigen. Die Vorbringen erschöpfen sich vielmehr in der Darstellung seiner eigenen Sicht der Dinge. Die Sachverhaltsrüge erweist sich demnach als unbegründet, sofern überhaupt darauf eingetreten werden kann. Es ist daher vom vorinstanzlich festgestellten Sachverhalt auszugehen.</w:t>
      </w:r>
    </w:p>
    <w:p>
      <w:r>
        <w:rPr>
          <w:b/>
        </w:rPr>
        <w:t>E. 3</w:t>
      </w:r>
    </w:p>
    <w:p>
      <w:r>
        <w:t>Der Beschwerdeführer macht im Weiteren geltend, die Vorinstanz habe den vorliegenden Sachverhalt zu Unrecht bosnisch-herzegowinischem anstatt schweizerischem Recht unterstellt ( Art. 96 lit. a BGG ).</w:t>
      </w:r>
    </w:p>
    <w:p>
      <w:r>
        <w:rPr>
          <w:b/>
        </w:rPr>
        <w:t>E. 3.1</w:t>
      </w:r>
    </w:p>
    <w:p>
      <w:r>
        <w:t>Das anwendbare Recht, dem die geltend gemachten Ansprüche des Beschwerdeführers aus dem Strassenverkehrsunfall in Bosnien-Herzegowina unterstehen, richtet sich gemäss Art. 134 IPRG (SR 291) nach dem Haager Übereinkommen vom 4. Mai 1971 über das auf Strassenverkehrsunfälle anzuwendende Recht (SVÜ; SR 0.741.31).</w:t>
      </w:r>
    </w:p>
    <w:p>
      <w:r>
        <w:t>Art. 3 SVÜ erklärt grundsätzlich das Recht jenes Staates für anwendbar, in dessen Hoheitsgebiet sich der Unfall ereignet hat. Neben dieser Grundsatzanknüpfung enthalten die Art. 4 ff. SVÜ Sonderanknüpfungen. Nach Art. 4 lit. a SVÜ ist insbesondere auf die Haftung gegenüber dem Fahrzeughalter das Recht des Zulassungsstaates anzuwenden, wenn nur ein Fahrzeug an dem Unfall beteiligt und dieses Fahrzeug in einem anderen als dem Staat zugelassen ist, in dessen Hoheitsgebiet sich der Unfall ereignet hat. Sind mehrere Fahrzeuge an dem Unfall beteiligt und alle Fahrzeuge im selben Staat zugelassen, gelangt ebenso das Recht des Zulassungsstaates zur Anwendung (Art. 4 lit. b SVÜ).</w:t>
      </w:r>
    </w:p>
    <w:p>
      <w:r>
        <w:rPr>
          <w:b/>
        </w:rPr>
        <w:t>E. 3.2</w:t>
      </w:r>
    </w:p>
    <w:p>
      <w:r>
        <w:t>Der Beschwerdeführer bringt vor, entgegen der Auffassung der Vorinstanz sei nur das von ihm gelenkte Fahrzeug und nicht auch das entgegenkommende am Unfall beteiligt gewesen. Die Vorinstanz hätte somit seine Ansprüche gegenüber den Beschwerdegegnern in Anwendung von Art. 4 lit. a SVÜ nach Schweizer Recht beurteilen müssen.</w:t>
      </w:r>
    </w:p>
    <w:p>
      <w:r>
        <w:rPr>
          <w:b/>
        </w:rPr>
        <w:t>E. 3.2.1</w:t>
      </w:r>
    </w:p>
    <w:p>
      <w:r>
        <w:t>Zur Auslegung des Begriffs der Unfallbeteiligung im Sinne von Art. 4 lit. a und b SVÜ ist zunächst der Wortlaut der englischen und französischen Originalfassungen zu konsultieren. Der englische Vertragstext verwendet in Art. 4 lit. a und b SVÜ den Begriff "involved" und der französische Text den Begriff "impliqué". Während "involved" kein schuldhaftes Mitwirken am Unfallgeschehen voraussetzt, kann dem Begriff "impliqué" zusätzlich auch die Bedeutung der schuldhaften Verursachung zukommen (Eric W. Essen, Rapport explicatif, Conférence de La Haye de droit international privé, Actes et documents de la onzième session, 7 au 26 octobre 1968, Bd. III, Accidents de la circulation routière, 1970, Ziff. 7.1 f. zu Art. 4 SVÜ). In Art. 4 lit. a und b SVÜ ist der Begriff "impliqué" jedoch einzig in seiner objektiv neutralen Bedeutung zu verstehen, ohne dass darin eine Form von Schuldzuweisung zum Ausdruck käme (Essen, a.a.O., Ziff. 7.1 f. zu Art. 4 SVÜ; Botschaft vom 24. Oktober 1984 betreffend das Haager Übereinkommen über das auf Strassenverkehrsunfälle anzuwendende Recht, BBl 1984 III S. 915 ff., 924; Dutoit, Commentaire de la loi fédérale du 18 décembre 1987, 4. Aufl. 2005, N. 12 zu Art. 134 IPRG ; Schaffhauser/Zellweger, Grundriss des schweizerischen Strassenverkehrsrechts, Bd. II: Haftpflicht und Versicherung, 1988, N. 1945; Volken, in: Zürcher Kommentar, 2. Aufl. 2004, N. 77 zu Art. 134 IPRG ). Der Begriff der Unfallbeteiligung im Sinne von Art. 4 lit. a und b SVÜ ist in einem weiten Sinn auszulegen (Botschaft, a.a.O., S. 924; Schaffhauser/Zellweger, a.a.O., N. 1945). Jede Mitwirkung am Unfallgeschehen gilt in Bezug auf die Fahrzeuge als Beteiligung, das heisst, beteiligt im Sinne von Art. 4 lit. a und b SVÜ sind alle in den Unfall aktiv oder passiv verwickelten Fahrzeuge (Martin Metzler, Motorfahrzeug-Haftpflichtversicherung: Eine Übersicht zur internationalen Schadenregulierung, in: Alfred Koller (Hrsg.), Haftpflicht- und Versicherungsrechtstagung 2003, S. 175; Schaffhauser/Zellweger, a.a.O., N. 1945; Volken, a.a.O., N. 91 zu Art. 134 IPRG ). Zum Begriff der Unfallbeteiligung im Sinne von Art. 4 lit. a und b SVÜ kann auch die Rechtsprechung und Lehre zu Art. 51 SVG (SR 741.01) beigezogen werden (Schaffhauser/Zellweger, a.a.O., N. 1945; Volken, a.a.O., N. 77 zu Art. 134 IPRG ; vgl. auch Essen, a.a.O., Ziff. 7.1 zu Art. 4 SVÜ), wonach an einem Unfall nicht nur als beteiligt gilt, wer einen Fehler begangen oder den Unfall direkt verursacht bzw. dazu beigetragen hat, sondern ebenso, wer in anderer Weise, auch nur indirekt, beim Zustandekommen des Unfalls mitgewirkt hat oder aufgrund der Umstände annehmen musste, als Unfallverursacher in Frage zu kommen (Urteil 6S.275/1995 vom 22. August 1995 E. 3b/aa, in: Pra 1996 Nr. 177 S. 647 ff.; BGE 83 IV 46 E. 2), so zum Beispiel durch Blenden oder Erschrecken eines am Unfall direkt Beteiligten (Giger, Strassenverkehrsgesetz, 6. Aufl. 2002, Ziff. 2 zu Art. 51 SVG ).</w:t>
      </w:r>
    </w:p>
    <w:p>
      <w:r>
        <w:rPr>
          <w:b/>
        </w:rPr>
        <w:t>E. 3.2.2</w:t>
      </w:r>
    </w:p>
    <w:p>
      <w:r>
        <w:t>Die Vorinstanz hat demnach zu Recht das Vorliegen eines Selbstunfalles verneint und das entgegenkommende Fahrzeug als beteiligt im Sinne von Art. 4 lit. a und b SVÜ betrachtet. Wie sie in tatbeständlicher Hinsicht feststellte, wurde der Unfall nicht ausschliesslich durch das Fehlverhalten des Beschwerdeführers verursacht, sondern hat das entgegenkommende Fahrzeug am Unfall durch das Blenden mitgewirkt. Als den Unfall mitverursachendes Fahrzeug ist dieses daher in den Unfall verwickelt. Dass es dabei nicht zu einem Zusammenstoss resp. nicht einmal zu einem Berühren der beiden Fahrzeuge kam, ändert nach der oben dargelegten Auslegung nichts daran.</w:t>
      </w:r>
    </w:p>
    <w:p>
      <w:r>
        <w:t>Soweit der Beschwerdeführer bei seinen rechtlichen Vorbringen zur Anwendung von Art. 4 lit. a SVÜ davon ausgeht, dass einzig sein Fahrfehler für den Unfall ursächlich gewesen sei und das entgegenkommende Fahrzeug bloss ein untergeordnetes und zufälliges Moment dargestellt habe, ist er nicht zu hören. Denn er legt damit seinen Ausführungen einen Sachverhalt zugrunde, der nicht den tatsächlichen Feststellungen der Vorinstanz entspricht und auch aufgrund seiner erhobenen Sachverhaltsrüge nicht entsprechend korrigiert worden ist (vgl. Erwägung 2; BGE 130 III 102 E. 2.2 S. 106; 127 III 248 E. 2c; 115 II 484 E. 2a). Dies gilt insbesondere, wenn er sich auf den österreichischen Obersten Gerichtshof beruft, der in ständiger Rechtsprechung davon ausgeht, dass der Ausdruck "beteiligt" in Art. 4 lit. a und b SVÜ im objektiven, weiteren Sinn dahingehend zu verstehen sei, dass das Fahrzeug beim Unfall eine aktive oder passive, aber nicht bloss eine zufällige Rolle gespielt habe (Urteile des OGH 2Ob314/97h vom 2. September 1999 ; 2Ob48 /93 vom 16. September 1993 ; 2Ob59 /89 vom 14. November 1989). Der Beschwerdeführer verkennt dabei, dass vorliegend in tatbeständlicher Hinsicht feststeht, dass das entgegenkommende, blendende Fahrzeug nicht bloss eine untergeordnete, rein zufällige Rolle gespielt hat.</w:t>
      </w:r>
    </w:p>
    <w:p>
      <w:r>
        <w:t>Unerheblich sind zudem die Ausführungen des Beschwerdeführers zur Rechtslage vor der Ratifizierung des SVÜ sowie zum Umstand, dass sich die Schweiz als Sozialstaat mit dem Beschwerdeführer finanziell auseinander setzen müsse. Ebenso nicht stichhaltig sind seine Vorbringen zum Gutachten des Instituts für Rechtsvergleichung. Er verkennt, dass das Institut für Rechtsvergleichung nicht die Frage des anwendbaren Rechts, sondern einzig die Frage der Haftung nach bosnisch-herzegowinischem Recht darzustellen hatte.</w:t>
      </w:r>
    </w:p>
    <w:p>
      <w:r>
        <w:rPr>
          <w:b/>
        </w:rPr>
        <w:t>E. 3.3</w:t>
      </w:r>
    </w:p>
    <w:p>
      <w:r>
        <w:t>Der Beschwerdeführer vermag schliesslich auch mit der Rüge nicht durchzudringen, dass die Vorinstanz eine unrichtige Beweislastverteilung vorgenommen habe, indem sie den Beweis, dass das entgegenkommende Fahrzeug in der Schweiz zugelassen sei (Art. 4 lit. b SVÜ), ihm und nicht den Beschwerdegegnern auferlegt habe.</w:t>
      </w:r>
    </w:p>
    <w:p>
      <w:r>
        <w:t>Als Regel statuiert Art. 3 SVÜ, dass das Recht des Staates, in dessen Hoheitsgebiet sich der Unfall ereignet hat, zur Anwendung gelangt. Als Ausnahme ist das Recht des Zulassungsstaates anwendbar, wenn bei mehreren am Unfall beteiligten Fahrzeugen alle Fahrzeuge im selben Staat zugelassen sind (Art. 4 lit. b SVÜ). Da sich der Beschwerdeführer auf die Sonderanknüpfung von Art. 4 lit. b SVÜ beruft, trägt er auch die Beweislast dafür, dass beide am Unfall beteiligten Fahrzeuge in der Schweiz zugelassen waren (vgl. BGE 132 III 186 E. 5.1 S. 197 mit Hinweisen). Die Vorinstanz hat somit Art. 8 ZGB nicht verletzt, indem sie erwog, da der Beschwerdeführer aus Art. 4 lit. b SVÜ ableite, es sei Schweizer Recht anwendbar und die Beschwerdegegner seien schadenersatzpflichtig, habe er zu beweisen, dass das entgegenkommende Fahrzeug ebenfalls Schweizer Nummernschilder gehabt habe. Der Beschwerdeführer macht zudem nicht geltend, die Vorinstanz sei willkürlich zum Schluss gekommen, er habe selbst bei einem herabgesetzten Beweismass mit der lapidaren Behauptung, in bosnischen Dörfern seien im Jahr 2000 wegen des noch nicht lange zurückliegenden Krieges noch viele ausländische Fahrzeuge herumgefahren, nicht zu beweisen vermögen, dass es sich beim entgegenkommenden Fahrzeug um ein in der Schweiz zugelassenes Auto gehandelt habe.</w:t>
      </w:r>
    </w:p>
    <w:p>
      <w:r>
        <w:rPr>
          <w:b/>
        </w:rPr>
        <w:t>E. 4</w:t>
      </w:r>
    </w:p>
    <w:p>
      <w:r>
        <w:t>Aus diesen Gründen ist die Beschwerde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