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4A_371/2025 vom 22. September 2025</w:t>
      </w:r>
    </w:p>
    <w:p>
      <w:r>
        <w:t>Bundesgericht, 2025-09-22, DE</w:t>
      </w:r>
    </w:p>
    <w:p>
      <w:r>
        <w:rPr>
          <w:b/>
        </w:rPr>
        <w:t xml:space="preserve">Quelle: </w:t>
      </w:r>
      <w:r>
        <w:t>https://mcp.opencaselaw.ch/entscheid/bger_4A_371_2025</w:t>
      </w:r>
    </w:p>
    <w:p>
      <w:r>
        <w:t>FR: TF 4A_371/2025 du 22 septembre 2025</w:t>
      </w:r>
    </w:p>
    <w:p>
      <w:r>
        <w:t>IT: TF 4A_371/2025 del 22 settembre 2025</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t>Angefochten ist der Endentscheid ( Art. 90 BGG ) einer letzten kantonalen Instanz, die über eine arbeitsrechtliche Streitigkeit und damit eine der Beschwerde in Zivilsachen unterliegende vermögensrechtliche Angelegenheit entschieden hat ( Art. 72 Abs. 1 BGG ). Der Streitwert übersteigt die in arbeitsrechtlichen Fällen geltende Grenze von Fr. 15'000.-- ( Art. 74 Abs. 1 lit. a BGG ).</w:t>
      </w:r>
    </w:p>
    <w:p>
      <w:r>
        <w:t>Der Beschwerdeführer ist im vorinstanzlichen Verfahren mit seinen Anträgen unterlegen ( Art. 76 Abs. 1 BGG ). Er hat zudem die Beschwerdefrist von Art. 100 Abs. 1 BGG eingehalten. Unter Vorbehalt einer hinreichenden Begründung ist demnach auf die Beschwerde einzutreten ( Art. 42 Abs. 2 und Art. 106 Abs. 2 BGG ).</w:t>
      </w:r>
    </w:p>
    <w:p>
      <w:r>
        <w:rPr>
          <w:b/>
        </w:rPr>
        <w:t>E. 2.1</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3.1</w:t>
      </w:r>
    </w:p>
    <w:p>
      <w:r>
        <w:t>Der Beschwerdeführer wirft der Vorinstanz zunächst vor, sie habe ihn zu Unrecht als passivlegitimierte Partei behandelt. Dies sei offenkundig aktenwidrig, bezeichne doch der Arbeitsvertrag die ihm gehörige Gesellschaft, die "Praxis Prof. Dr. med. A.________ AG", und nicht ihn persönlich als Arbeitgeberin der Beschwerdegegnerin. Auch habe stets diese Aktiengesellschaft und nicht er selbst der Beschwerdegegnerin ihren Lohn ausbezahlt. Folglich hätte die Beschwerdegegnerin die "Praxis Prof. Dr. med. A.________ AG" und nicht ihn einklagen müssen. Aufgrund dieses gewichtigen Fehlers entfalte das angefochtene Urteil keinerlei Rechtswirkungen und sei daher nichtig.</w:t>
      </w:r>
    </w:p>
    <w:p>
      <w:r>
        <w:rPr>
          <w:b/>
        </w:rPr>
        <w:t>E. 3.2</w:t>
      </w:r>
    </w:p>
    <w:p>
      <w:r>
        <w:t>Die Beschwerde ist nach Art. 75 Abs. 1 BGG zulässig gegen Entscheide letzter kantonaler Instanzen. Entscheidet eine solche Instanz im Sinne von Art. 75 Abs. 2 BGG als Rechtsmittelinstanz, ist die Ausschöpfung des kantonalen Instanzenzugs unerlässliche Voraussetzung für die Zulässigkeit der Beschwerde an das Bundesgericht. Im Zivilrecht gilt das Prinzip der double instance. Davon ausgenommen sind die in Art. 75 Abs. 2 lit. a-c BGG umschriebenen, vorliegend nicht einschlägigen Ausnahmen ( BGE 143 III 290 E. 1.1). Der Begriff der Letztinstanzlichkeit bedeutet, dass der kantonale Instanzenzug nicht nur formell durchlaufen werden soll, sondern dass die Rügen, die dem Bundesgericht unterbreitet werden, soweit möglich schon vor Vorinstanz vorgebracht werden müssen. Die rechtsuchende Partei muss sich in der Beschwerde an das Bundesgericht mit den Erwägungen der letzten kantonalen Instanz zu Rügen auseinandersetzen, die sie bereits vor dieser letzten kantonalen Instanz erhoben hat. Sie darf die ihr bekannten rechtserheblichen Einwände der Vorinstanz nicht vorenthalten, um sie erst nach dem Ergehen eines ungünstigen Entscheids im anschliessenden Rechtsmittelverfahren zu erheben ( BGE 146 III 203 E. 3.3.4; 143 III 290 E. 1.1).</w:t>
      </w:r>
    </w:p>
    <w:p>
      <w:r>
        <w:rPr>
          <w:b/>
        </w:rPr>
        <w:t>E. 3.3</w:t>
      </w:r>
    </w:p>
    <w:p>
      <w:r>
        <w:t>Das erstinstanzliche Gericht bezeichnete den Beschwerdeführer als beklagte Partei. Folglich hätte sich dieser bereits dort auf seine fehlende Passivlegitimation berufen können. Der Beschwerdeführer macht indessen nicht geltend, er habe bereits im kantonalen Verfahren seine Passivlegitimation bestritten. Da er den Instanzenzug materiell nicht ausgeschöpft hat, kann er mit dieser Rüge vor Bundesgericht nicht gehört werden.</w:t>
      </w:r>
    </w:p>
    <w:p>
      <w:r>
        <w:rPr>
          <w:b/>
        </w:rPr>
        <w:t>E. 4.1</w:t>
      </w:r>
    </w:p>
    <w:p>
      <w:r>
        <w:t>Weiter rügt der Beschwerdeführer, er habe die Tonaufnahmen der Gerichtsverhandlungen bloss stark eingeschränkt und unter Aufsicht des Kanzleipersonals anhören dürfen. Demgegenüber sei ihm die vollständige Herausgabe und die zeitlich uneingeschränkte Überprüfung dieser Aufnahmen verwehrt worden. Während des zweimaligen Abhörens im Gerichtsgebäude sei er mehrfach gestört und unterbrochen worden. Die Vorinstanz sei auf diese Rügen an keiner Stelle eingegangen. Stattdessen habe sie bloss bagatellisierend festgehalten, die Einschränkungen hätten den Beschwerdeführer nicht in seinem Anspruch auf rechtliches Gehör eingeschränkt.</w:t>
      </w:r>
    </w:p>
    <w:p>
      <w:r>
        <w:rPr>
          <w:b/>
        </w:rPr>
        <w:t>E. 4.2</w:t>
      </w:r>
    </w:p>
    <w:p>
      <w:r>
        <w:t>Auch dieser Vorwurf erweist sich als unbegründet: Die Vorinstanz erwog, der Beschwerdeführer habe an zwei verschiedenen Terminen genügend Zeit gehabt, um die Tonaufzeichnungen vollständig anzuhören. Der Beschwerdeführer vermag diese für das Bundesgericht verbindlichen tatsächlichen Feststellungen zum Prozesssachverhalt (siehe E. 2.2) nicht als willkürlich umzustossen. Folglich wurde er nicht in seinem Anspruch auf rechtliches Gehör verletzt.</w:t>
      </w:r>
    </w:p>
    <w:p>
      <w:r>
        <w:rPr>
          <w:b/>
        </w:rPr>
        <w:t>E. 5.1</w:t>
      </w:r>
    </w:p>
    <w:p>
      <w:r>
        <w:t>Schliesslich macht der Beschwerdeführer geltend, die Beschwerdegegnerin habe Arbeitsstunden im Wert von Fr. 26'059.-- nicht geleistet. Er habe beantragt, die eingeklagte Forderung mit diesem Betrag zu verrechnen. Die kantonalen Instanzen hätten sich indessen nicht die Mühe genommen, seine dahingehenden Ausführungen zu behandeln.</w:t>
      </w:r>
    </w:p>
    <w:p>
      <w:r>
        <w:rPr>
          <w:b/>
        </w:rPr>
        <w:t>E. 5.2</w:t>
      </w:r>
    </w:p>
    <w:p>
      <w:r>
        <w:t>Diese Kritik erweist sich ebenfalls als unbegründet: Die Vorinstanz ging vertieft auf das Problem der Verrechnung ein. Sie erwog, gestützt auf die bundesgerichtliche Rechtsprechung (BGG 110 II 344 E. 2b), der Beschwerdeführer hätte ihm bekannte oder erkennbare Gegenforderungen spätestens am Ende des Arbeitsverhältnisses mit der letzten Lohnforderung geltend machen müssen. Da er dies unterlassen habe, könne er vor Gericht keine eigenen Ansprüche verrechnungsweise geltend machen. Der Beschwerdeführer setzt sich mit diesen rechtlichen Ausführungen nicht auseinander. Mangels hinreichender Begründung ist diesbezüglich auf seine Beschwerde nicht einzutreten.</w:t>
      </w:r>
    </w:p>
    <w:p>
      <w:r>
        <w:rPr>
          <w:b/>
        </w:rPr>
        <w:t>E. 6</w:t>
      </w:r>
    </w:p>
    <w:p>
      <w:r>
        <w:t>Die Beschwerde erweist sich als offensichtlich unbegründet, weshalb sie im Verfahren nach Art. 109 Abs. 2 lit. a BGG abzuweisen ist, soweit darauf eingetreten werden kann.</w:t>
      </w:r>
    </w:p>
    <w:p>
      <w:r>
        <w:t>Dem Ausgang des Verfahrens entsprechend wird der Beschwerdeführer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