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36/2020 vom 27. August 2020</w:t>
      </w:r>
    </w:p>
    <w:p>
      <w:r>
        <w:t>Bundesgericht, 2020-08-27, FR</w:t>
      </w:r>
    </w:p>
    <w:p>
      <w:r>
        <w:rPr>
          <w:b/>
        </w:rPr>
        <w:t xml:space="preserve">Quelle: </w:t>
      </w:r>
      <w:r>
        <w:t>https://mcp.opencaselaw.ch/entscheid/bger_4A_36_2020</w:t>
      </w:r>
    </w:p>
    <w:p>
      <w:r>
        <w:t>FR: TF 4A 36/2020 du 27 août 2020</w:t>
      </w:r>
    </w:p>
    <w:p>
      <w:r>
        <w:t>IT: TF 4A 36/2020 del 27 agosto 2020</w:t>
      </w:r>
    </w:p>
    <w:p>
      <w:pPr>
        <w:pStyle w:val="Heading2"/>
      </w:pPr>
      <w:r>
        <w:t>Regeste</w:t>
      </w:r>
    </w:p>
    <w:p>
      <w:r>
        <w:t>arbitrage international; demande de révision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Celles-ci ayant employé le français dans les mémoires qu'elles ont adressés au Tribunal fédéral, celui-ci rendra son arrêt dans cette langue.</w:t>
      </w:r>
    </w:p>
    <w:p>
      <w:r>
        <w:rPr>
          <w:b/>
        </w:rPr>
        <w:t>E. 2.1</w:t>
      </w:r>
    </w:p>
    <w:p>
      <w:r>
        <w:t>Le siège de l'arbitrage a été fixé à Genève. L'une des parties au moins (en l'occurrence, les deux) n'avait pas son siège en Suisse au moment déterminant. Les dispositions du chapitre 12 de la loi sur le droit international privé (LDIP; RS 291) sont donc applicables ( art. 176 al. 1 LDIP ).</w:t>
      </w:r>
    </w:p>
    <w:p>
      <w:r>
        <w:rPr>
          <w:b/>
        </w:rPr>
        <w:t>E. 2.2</w:t>
      </w:r>
    </w:p>
    <w:p>
      <w:r>
        <w:t>La LDIP ne contient aucune disposition relative à la révision des sentences arbitrales. Le Tribunal fédéral a comblé cette lacune par voie jurisprudentielle. Les motifs de révision de ces sentences sont visés par l' art. 123 LTF . Le Tribunal fédéral est l'autorité judiciaire compétente pour connaître de la demande de révision de toute sentence arbitrale internationale, qu'elle soit finale, partielle ou préjudicielle. S'il admet une demande de révision, il ne se prononce pas lui-même sur le fond mais renvoie la cause au tribunal arbitral qui a statué ou à un nouveau tribunal arbitral à constituer ( ATF 142 III 521 consid. 2.1; 134 III 286 consid. 2 et les références; arrêt 4A_666/2012 du 3 juin 2013 consid. 3.1).</w:t>
      </w:r>
    </w:p>
    <w:p>
      <w:r>
        <w:rPr>
          <w:b/>
        </w:rPr>
        <w:t>E. 3</w:t>
      </w:r>
    </w:p>
    <w:p>
      <w:r>
        <w:t>La requérante invoque l' art. 123 al. 2 let. a LTF . Elle estime avoir découvert après la date de la sentence arbitrale des faits pertinents et des moyens de preuve concluants qu'elle n'avait pas été en mesure d'invoquer dans la procédure arbitrale.</w:t>
      </w:r>
    </w:p>
    <w:p>
      <w:r>
        <w:rPr>
          <w:b/>
        </w:rPr>
        <w:t>E. 3.1</w:t>
      </w:r>
    </w:p>
    <w:p>
      <w:r>
        <w:t>La demande de révision a trait aux deux accords conclus entre l'intimée et D.________: le contrat de distribution exclusive du 16 décembre 2013 ainsi que l'accord transactionnel du 13 novembre 2016. La requérante se fonde sur l'audition du 11 octobre 2019 de la fille du fondateur de l'intimée G.C.________, I.C.________, ainsi que sur des documents ayant été produits par celle-ci sur ordre d'un tribunal américain de première instance ( United States District Court for the Eastern District of New York ) dans le cadre d'une procédure d'obtention de preuves initiée le 1er mai 2019 aux États-Unis ( discovery ). Elle soutient que, lors de son audition, I.C.________ aurait expliqué avoir envoyé un modèle d'accord transactionnel le 14 janvier 2017, ceci alors même que l'accord transactionnel sur lequel se serait fondé le tribunal arbitral afin d'octroyer des dommages-intérêts à l'intimée serait daté du 13 novembre 2016. I.C.________ aurait également affirmé n'avoir jamais participé à la négociation de l'accord transactionnel et ne pas avoir rédigé celui-ci, ce qui contredirait les informations données par l'intimée au tribunal arbitral et les témoignages de G.C.________ et de l'organe de D.________, F.________. À titre de moyens de preuve nouveaux, la requérante invoque trois courriers électroniques produits par I.C.________, des modèles et ébauches du contrat de distribution exclusive conclu avec D.________ et de l'accord transactionnel ainsi que des métadonnées relatives à ces accords. Selon la requérante, ces moyens de preuve démontreraient que le contrat de distribution exclusive n'aurait été créé que le 30 mars 2015 avant d'être finalisé en janvier 2017, ceci alors même que le tribunal arbitral aurait considéré que ce contrat a été conclu par D.________ et l'intimée en décembre 2013. Ces moyens de preuve nouveaux valideraient donc la thèse avancée par la requérante au cours de la procédure arbitrale selon laquelle tant ce contrat que l'accord transactionnel prétendument conclus par l'intimée et D.________ ne seraient pas authentiques et n'auraient été créés que pour les besoins du litige. Le tribunal arbitral s'étant fondé sur l'existence de ces deux accords afin d'octroyer à l'intimée différents montants à titre de gain manqué, de dommages-intérêts et de commissions, la requérante estime que la sentence arbitrale aurait été différente si les arbitres avaient statué en connaissance des faits et moyens de preuve nouveaux.</w:t>
      </w:r>
    </w:p>
    <w:p>
      <w:r>
        <w:rPr>
          <w:b/>
        </w:rPr>
        <w:t>E. 3.2.1</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 Ne peuvent justifier une révision que les faits qui se sont produits jusqu'au moment où, dans la procédure antérieure, des faits pouvaient encore être allégués, mais qui n'étaient pas connus du requérant malgré toute sa diligence; en outre, ces faits doivent être pertinents, c'est-à-dire de nature à modifier l'état de fait qui est à la base de la décision entreprise et à conduire à une solution différente en fonction d'une appréciation juridique correcte.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ce motif de révision ne doit pas servir à remédier aux omissions de la partie requérante dans la conduite du procès (arrêts 4A_247/2014 du 23 septembre 2014 consid. 2.3; 4A_570/2011 du 23 juillet 2012 consid. 4.1).</w:t>
      </w:r>
    </w:p>
    <w:p>
      <w:r>
        <w:rPr>
          <w:b/>
        </w:rPr>
        <w:t>E. 3.2.2</w:t>
      </w:r>
    </w:p>
    <w:p>
      <w:r>
        <w:t>Tentant de démontrer en quoi les éléments invoqués à l'appui de sa demande de révision sont pertinents et décisifs, la requérante soutient que le tribunal arbitral s'est fondé sur l'existence du contrat de distribution exclusive et de l'accord transactionnel et que sa sentence aurait nécessairement été différente s'il avait eu connaissance de la caducité de ces deux accords. Afin que l'on puisse souscrire à son raisonnement, encore faudrait-il toutefois retenir que les faits et moyens de preuve nouveaux invoqués auraient conduit le tribunal arbitral à considérer que lesdits accords n'ont jamais véritablement existé et que les documents produits au cours de la procédure arbitrale ne sont que des artifices présentés aux seules fins de démontrer le dommage prétendument subi par l'intimée. Or, tel n'est pas le cas. En effet, une lecture attentive de la sentence entreprise permet de constater que le tribunal arbitral ne s'est pas fondé sur les modalités des documents juridiques produits - telles que la date ou la question de la participation de I.C.________ à leur rédaction - afin de retenir l'existence d'une relation d'affaires entre l'intimée et D.________ et la conclusion subséquente entre ces deux sociétés d'un accord transactionnel. S'agissant de l'élaboration des accords, le tribunal arbitral s'est contenté d'évoquer que le projet de contrat de distribution exclusive avait été " apparemment " préparé par I.C.________ (" The Agreement was proposed by B.________ to D.________ and apparently drafted by Mr. G.C.________'s daughter, a lawyer ") (sentence arbitrale, n. 243). Il ne s'est pas arrêté sur le processus d'élaboration de l'accord transactionnel et ne s'est, en particulier, pas fondé sur d'éventuelles contributions de I.C.________ afin de retenir qu'un tel accord avait été véritablement conclu entre l'intimée et D.________. Dès lors, on peine à saisir la pertinence des déclarations de I.C.________, dans le cadre d'une procédure d'obtention de preuves ultérieure à la procédure arbitrale, selon lesquelles elle n'aurait pas participé aux négociations de l'accord transactionnel et n'aurait pas rédigé cet accord. S'agissant des dates de conclusion des accords litigieux, dont les courriers électroniques, pièces jointes et métadonnées transmis par I.C.________ dans le cadre de la procédure de discovery permettraient, selon la requérante, de déterminer qu'elles sont postérieures à celles retenues par le tribunal arbitral, il y a certes lieu de relever que le tribunal arbitral est parti du principe que le contrat de distribution exclusive et l'accord transactionnel avaient été respectivement conclus en décembre 2013 et le 13 novembre 2016. Cependant, le tribunal arbitral n'a pas semblé considérer la date des accords conclus par l'intimée avec D.________ comme étant un élément décisif pour l'issue du litige. En effet, au moment de se prononcer sur l'argumentation de la requérante selon laquelle les conventions en question n'étaient que le fruit d'un artifice de l'intimée, le tribunal arbitral a relevé que le contrat de distribution exclusive avec D.________ a été conclu après que l'intimée a été informée par la requérante de la décision de cette dernière de cesser la livraison de produits. Il n'a toutefois pas jugé que cet élément chronologique signifiait que l'intimée avait simulé l'existence d'un contrat avec D.________ pour les besoins du litige, soulignant simplement que le contrat était objectivement risqué pour l'intimée (sentence arbitrale, n. 242). Force est de constater qu'au moment de retenir l'existence de relations d'affaires unissant l'intimée et D.________, le tribunal arbitral s'est appuyé sur d'autres éléments que le processus d'élaboration des documents renfermant l'accord des parties. Il s'est fondé, dans une large mesure, sur le témoignage de F.________, organe de D.________, jugé crédible, ainsi que sur les circonstances de l'espèce. Contrairement à ce que soutient la requérante, la date de création des documents transmis par I.C.________ dans le cadre de la procédure d'obtention de preuves américaine n'aurait pas nécessairement conduit le tribunal arbitral à retenir que le témoin F.________ aurait ouvertement menti au tribunal arbitral afin de protéger les intérêts de l'intimée.</w:t>
      </w:r>
    </w:p>
    <w:p>
      <w:r>
        <w:rPr>
          <w:b/>
        </w:rPr>
        <w:t>E. 3.2.3</w:t>
      </w:r>
    </w:p>
    <w:p>
      <w:r>
        <w:t>De plus, et surtout, force est de constater que la requérante a manqué de diligence. Nul besoin de s'attarder ici sur la possibilité pour elle d'obtenir durant la procédure arbitrale les moyens de preuve produits dans le cadre d'une procédure de discovery aux États-Unis. En revanche, afin d'établir si les faits et moyens de preuve nouveaux résultent de recherches qui auraient pu et dû être effectuées dans la procédure précédente, il est nécessaire de se demander si la requérante avait des raisons de requérir le témoignage de I.C.________ dans le cadre de la procédure arbitrale et la possibilité de le faire. À cet égard, la requérante souligne elle-même dans sa demande de révision que l'intimée avait allégué au cours de la procédure arbitrale que I.C.________ avait participé à la rédaction de l'accord transactionnel, dont la requérante prétendait déjà dans l'instance arbitrale qu'il n'avait jamais véritablement existé. Afin de contester cette allégation de l'intimée qu'elle estimait inexacte, la requérante avait alors de bonnes raisons de solliciter l'audition de I.C.________ afin que celle-ci se prononce sur sa participation aux négociations contractuelles et à l'élaboration du ou des document (s) litigieux. À ce propos, la requérante se contente de préciser dans sa demande de révision que " Mme I.C.________ n'a pas été entendu [sic] comme témoin durant la procédure arbitrale et la Requérante n'avait aucun moyen de l'auditionner " (demande de révision, n. 28). Après que l'intimée allègue dans sa réponse que la requérante n'a en réalité jamais demandé l'audition de I.C.________ au cours de la procédure arbitrale, la requérante se risque dans ses " Observations " du 9 juin 2020 à une argumentation nébuleuse selon laquelle les règles auxquelles la procédure arbitrale était soumise - à savoir les " Arbitration Rules of the Arbitration Institute of the Stockholm Chamber of Commerce " (ci-après: Stockholm Rules) - ne prévoient aucune possibilité pour une partie de demander au tribunal arbitral l'audition d'un tiers comme témoin. Or, comme le souligne à juste titre l'intimée, l'article 33 des Stockholm Rules, intitulé " Witnesses ", prévoit précisément à son premier alinéa la possibilité pour les parties de demander au tribunal arbitral l'audition de témoins (" In advance of any hearing, the Arbitral Tribunal may order the parties to identify each witness or expert they intend to call and specify the circumstances intended to be proven by each testimony "). La requérante ne saurait dès lors faire reposer sa demande de révision sur des éléments qu'elle aurait pu tenter d'obtenir dans le cadre de la procédure arbitrale.</w:t>
      </w:r>
    </w:p>
    <w:p>
      <w:r>
        <w:rPr>
          <w:b/>
        </w:rPr>
        <w:t>E. 4</w:t>
      </w:r>
    </w:p>
    <w:p>
      <w:r>
        <w:t>Au vu de ce qui précède, la demande de révision doit être rejetée. La requérante, qui succombe, devra payer les frais judiciaires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