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4A_36/2018 vom 1. März 2018</w:t>
      </w:r>
    </w:p>
    <w:p>
      <w:r>
        <w:t>Bundesgericht, 2018-03-01, DE</w:t>
      </w:r>
    </w:p>
    <w:p>
      <w:r>
        <w:rPr>
          <w:b/>
        </w:rPr>
        <w:t xml:space="preserve">Quelle: </w:t>
      </w:r>
      <w:r>
        <w:t>https://mcp.opencaselaw.ch/entscheid/bger_4A_36_2018</w:t>
      </w:r>
    </w:p>
    <w:p>
      <w:r>
        <w:t>FR: TF 4A_36/2018 du 1 mars 2018</w:t>
      </w:r>
    </w:p>
    <w:p>
      <w:r>
        <w:t>IT: TF 4A_36/2018 del 1 marzo 2018</w:t>
      </w:r>
    </w:p>
    <w:p>
      <w:pPr>
        <w:pStyle w:val="Heading2"/>
      </w:pPr>
      <w:r>
        <w:t>Erwägungen</w:t>
      </w:r>
    </w:p>
    <w:p>
      <w:r>
        <w:rPr>
          <w:b/>
        </w:rPr>
        <w:t>E. 1</w:t>
      </w:r>
    </w:p>
    <w:p>
      <w:r>
        <w:t>Die Beschwerde betrifft eine Zivilsache ( Art. 72 BGG ), sie richtet sich gegen den Endentscheid ( Art. 90 BGG ) eines oberen kantonalen Gerichts, das als einzige Instanz im Sinne von Art. 5 ZPO entschieden hat ( Art. 75 Abs. 2 lit. a BGG ), die Beschwerdeführerin ist mit ihren Anträgen unterlegen ( Art. 76 BGG ), ein Streitwert ist nicht erforderlich ( Art. 74 Abs. 2 lit. b BGG ) und die Beschwerde ist rechtzeitig eingereicht worden (Art. 100 in Verbindung mit Art. 46 Abs. 1 lit. c BGG ). Auf die Beschwerde ist unter Vorbehalt hinreichender Begründung ( Art. 42 Abs. 2 und Art. 106 Abs. 2 BGG ) einzutreten.</w:t>
      </w:r>
    </w:p>
    <w:p>
      <w:r>
        <w:rPr>
          <w:b/>
        </w:rPr>
        <w:t>E. 2</w:t>
      </w:r>
    </w:p>
    <w:p>
      <w:r>
        <w:t>Die Beschwerdeführerin rügt als offensichtlich unrichtige Feststellung, dass der Mietvertrag vom 29. August 2001 eine Vertragsänderung sei.</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(vgl. BGE 140 III 16 E. 1.3.1 S. 18; 136 II 508 E. 1.2; 133 II 249 E. 1.4.3 S. 255).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mit Hinweisen).</w:t>
      </w:r>
    </w:p>
    <w:p>
      <w:r>
        <w:rPr>
          <w:b/>
        </w:rPr>
        <w:t>E. 2.2</w:t>
      </w:r>
    </w:p>
    <w:p>
      <w:r>
        <w:t>Die Vorinstanz stellt fest, dass die Beschwerdeführerin der Beschwerdegegnerin 2 die Geschäftsräume zuerst gestützt auf den Mietvertrag vom 29. Juni / 6. Juli 1995 vermietete. Am 29. August 2001 schlossen die Parteien danach einen neuen Mietvertrag über dieselben Geschäftsräume. Die Vorinstanz stellt fest, dass der ursprüngliche Mietvertrag eine Berechtigung der Vermieterin am Namen "E.________" nicht enthielt, dass das Recht der Vermieterin am Namen neu in Ziffer 8 des Anhangs zum Mietvertrag vom 29. August 2001 vereinbart und durch keine anderweitigen Vorteile für die Mieterin kompensiert wurde. In rechtlicher Hinsicht qualifiziert die Vorinstanz den formellen Neuabschluss des Mietvertrags am 29. August 2001 als einseitige Vertragsänderung zu Lasten der Mieterin, die ohne Formular im Sinne von Art. 269d Abs. 2 OR mitgeteilt wurde und daher nichtig ist.</w:t>
      </w:r>
    </w:p>
    <w:p>
      <w:r>
        <w:rPr>
          <w:b/>
        </w:rPr>
        <w:t>E. 2.3</w:t>
      </w:r>
    </w:p>
    <w:p>
      <w:r>
        <w:t>Die Beschwerdeführerin bestreitet nicht, dass der Mietvertrag vom 29. Juni / 6. Juli 1995 einerseits und der Mietvertrag vom 29. August 2001 anderseits dieselben Geschäftsräume zum Gegenstand hatten. Soweit sie behauptet, der Mietvertrag vom 29. Juni / 6. Juli 1995 sei zwischen anderen Parteien - nämlich zwischen ihr und D.________ (gemeint wohl: D.________) - abgeschlossen worden und "</w:t>
      </w:r>
    </w:p>
    <w:p>
      <w:r>
        <w:t>erst im Mietvertrag vom 29. August 2001 standen sich die Beschwerdeführerin und die Beschwerdegegnerin 2 als Parteien gegenüber ", ist ihre den vorinstanzlichen Feststellungen widersprechende Sachdarstellung nicht nur unzulässig ( Art. 97 BGG ), sondern mutwillig. Im ursprünglichen Vertrag heisst es unter "Mieter":</w:t>
      </w:r>
    </w:p>
    <w:p>
      <w:r>
        <w:t>"D.________. Nach Gründung der AG, geht der Mietvertrag automatisch an diese über."</w:t>
      </w:r>
    </w:p>
    <w:p>
      <w:r>
        <w:t>Soweit die Beschwerdeführerin im Übrigen eine Ergänzung des von der Vorinstanz festgestellten Sachverhalts anstrebt mit der Begründung, sie habe vor Vorinstanz keinen Anlass gehabt, die Kündigung des Mietvertrages vom 29. Juni / 6. Juli 1995 prozesskonform vorzubringen, kann ihr nicht gefolgt werden. Dass diese Kündigung angeblich zu einem Anfechtungsverfahren geführt habe, das mit einer Abschreibungsverfügung des Appellationsgerichts vom 22. Juni 2000 mehrere Jahre vor dem vorliegenden Verfahren geendet habe, macht die Kündigung nicht gerichtsnotorisch. Bei den entsprechenden Vorbringen der Beschwerdeführerin handelt es sich somit vielmehr um unzulässige Noven im Sinne von Art. 99 Abs. 1 BGG . Mit der Behauptung, die Beschwerdegegnerinnen hätten die Zulässigkeit der Vertragsänderung nicht bestritten, widerspricht die Beschwerdeführerin zudem der verbindlichen Feststellung des Prozesssachverhalts durch die Vorinstanz, ohne gehörige Rügen vorzutragen. Ob eine allfällige Kündigung des früheren Vertrags erheblich wäre, hat die Vorinstanz zu Recht nicht geprüft.</w:t>
      </w:r>
    </w:p>
    <w:p>
      <w:r>
        <w:rPr>
          <w:b/>
        </w:rPr>
        <w:t>E. 3</w:t>
      </w:r>
    </w:p>
    <w:p>
      <w:r>
        <w:t>Die Vorinstanz hat die Einführung von Ziffer 8 in den Anhang des Mietvertrags vom 29. August 2001 als einseitige Vertragsänderung qualifiziert, die mangels Verwendung des Formulars nichtig ist mit der Folge, dass der Beschwerdeführerin kein Recht an der Bezeichnung "E.________" zusteht. Soweit die Beschwerdeführerin eine Verletzung von Art. 269d OR , von Art. 29 Abs. 2 ZGB sowie eine unrichtige Auslegung von Ziffer 8 des Anhangs zum Mietvertrag vom 29. August 2001 rügt, geht sie von einem behaupteten Neuabschluss des Mietvertrags aus; sie zeigt insofern nicht auf und es ist auch nicht ersichtlich, dass die Vorinstanz auf der Grundlage des verbindlich festgestellten Sachverhalts Bundesrecht verletzt haben könnte. Soweit die Beschwerdeführerin zudem bestreitet, dass die Klausel mietvertraglicher Natur sei, ist ihr Vorbringen unbegründet. Die behauptete Berechtigung am Namen "E.________" stützt sie selbst auf den Mietvertrag und es ist unerheblich, dass sich das in diesem Vertrag vereinbarte ausschliessliche Gebrauchs- und Weiterbenutzungsrecht am Namen erst nach Vertragsbeendigung auswirkt. Von Art. 269d OR werden grundsätzlich sämtliche Änderungen des Mietvertrages erfasst, durch welche das bisherige Austauschverhältnis der Leistungen von Vermieter und Mieter verändert werden kann ( BGE 125 III 231 E. 3b S. 235).</w:t>
      </w:r>
    </w:p>
    <w:p>
      <w:r>
        <w:t>Dem angefochtenen Entscheid sind im Übrigen keine Feststellungen dafür zu entnehmen, dass sich die Beschwerdegegnerinnen rechtsmissbräuchlich verhalten könnten, wenn sie die Gültigkeit der Vertragsklausel bestreiten, mit der ihnen die Weiterführung des Namens verwehrt wird, unter dem sie bisher die Bar betrieben. Und dass die Voraussetzungen für eine konsensuale Vertragsänderung nicht gegeben sind, hat die Vorinstanz im angefochtenen Urteil überzeugend begründet. Die blosse gegenteilige Behauptung der Beschwerdeführerin ändert daran nichts.</w:t>
      </w:r>
    </w:p>
    <w:p>
      <w:r>
        <w:rPr>
          <w:b/>
        </w:rPr>
        <w:t>E. 4</w:t>
      </w:r>
    </w:p>
    <w:p>
      <w:r>
        <w:t>Gegen die Nichtigerklärung ihrer Marken nach Art. 2 Abs. 1 lit. MSchG (SR 232.11) wendet die Beschwerdeführerin nichts ein. Es ist daher nicht zu prüfen, ob die Namensanmassung oder das unlautere Verhalten der Beschwerdeführerin einen absoluten Ausschlussgrund nach Art. 2 MSchG oder eher einen relativen Ausschlussgrund nach Art. 3 MSchG begründet. Die Vorinstanz hat im Ergebnis zutreffend die Löschung der Marken CH-Nrn. xxx, yyy und zzz aus dem schweizerischen Markenregister angeordnet. Das vorliegende Urteil ist daher von Amtes wegen auch dem Eidgenössischen Institut für Geistiges Eigentum mitzuteilen.</w:t>
      </w:r>
    </w:p>
    <w:p>
      <w:r>
        <w:rPr>
          <w:b/>
        </w:rPr>
        <w:t>E. 5</w:t>
      </w:r>
    </w:p>
    <w:p>
      <w:r>
        <w:t>Die Beschwerde ist abzuweisen, soweit darauf einzutreten ist. Bei diesem Verfahrensausgang sind die Gerichtskosten der Beschwerdeführerin zu auferlegen ( Art. 66 Abs. 1 BGG ). Da die Beschwerdegegnerinnen nicht zur Antwort eingeladen wurden und sich zur aufschiebenden Wirkung nicht haben vernehmen lassen, sind ihnen keine Parteikosten angefallen, die von der Beschwerdeführerin zu ersetzen wären. Es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