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4A_36/2014 vom 9. Juli 2014</w:t>
      </w:r>
    </w:p>
    <w:p>
      <w:r>
        <w:t>Bundesgericht, 2014-07-09, DE</w:t>
      </w:r>
    </w:p>
    <w:p>
      <w:r>
        <w:rPr>
          <w:b/>
        </w:rPr>
        <w:t xml:space="preserve">Quelle: </w:t>
      </w:r>
      <w:r>
        <w:t>https://mcp.opencaselaw.ch/entscheid/bger_4A_36_2014</w:t>
      </w:r>
    </w:p>
    <w:p>
      <w:r>
        <w:t>FR: TF 4A_36/2014 du 9 juillet 2014</w:t>
      </w:r>
    </w:p>
    <w:p>
      <w:r>
        <w:t>IT: TF 4A_36/2014 del 9 luglio 2014</w:t>
      </w:r>
    </w:p>
    <w:p>
      <w:pPr>
        <w:pStyle w:val="Heading2"/>
      </w:pPr>
      <w:r>
        <w:t>Erwägungen</w:t>
      </w:r>
    </w:p>
    <w:p>
      <w:r>
        <w:rPr>
          <w:b/>
        </w:rPr>
        <w:t>E. 1</w:t>
      </w:r>
    </w:p>
    <w:p>
      <w:r>
        <w:t>Das Bundesgericht prüft von Amtes wegen und mit freier Kognition, ob ein Rechtsmittel zulässig ist ( BGE 139 III 133 E. 1).</w:t>
      </w:r>
    </w:p>
    <w:p>
      <w:r>
        <w:rPr>
          <w:b/>
        </w:rPr>
        <w:t>E. 1.1</w:t>
      </w:r>
    </w:p>
    <w:p>
      <w:r>
        <w:t>In vermögensrechtlichen Angelegenheiten, wie hier eine vorliegt, ist die Beschwerde in Zivilsachen grundsätzlich nur zulässig, wenn der Streitwert mindestens Fr. 30'000.-- beträgt ( Art. 74 Abs. 1 lit. b BGG ). Gemäss den Feststellungen der Vorinstanz beträgt der Streitwert vorliegend weniger als Fr. 30'000.--. Erreicht der Streitwert den massgebenden Betrag nicht, ist sie dennoch zulässig, wenn sich eine Rechtsfrage von grundsätzlicher Bedeutung stellt ( Art. 74 Abs. 2 lit. a BGG ).</w:t>
      </w:r>
    </w:p>
    <w:p>
      <w:r>
        <w:rPr>
          <w:b/>
        </w:rPr>
        <w:t>E. 1.2</w:t>
      </w:r>
    </w:p>
    <w:p>
      <w:r>
        <w:t>Der Begriff der Rechtsfrage von grundsätzlicher Bedeutung im Sinne von Art. 74 Abs. 2 lit. a BGG ist sehr restriktiv auszulegen ( BGE 137 III 580 E. 1.1 S. 582; 135 III 397 E. 1.2 S. 399; 133 III 493 E. 1.1). Soweit es bei der aufgeworfenen Frage lediglich um die Anwendung von Grundsätzen der Rechtsprechung auf einen konkreten Fall geht, handelt es sich nicht um eine Rechtsfrage von grundsätzlicher Bedeutung ( BGE 135 III 1 E. 1.3 S. 4; 133 III 493 E. 1.2 S. 496, je mit Hinweisen). Die Voraussetzung von Art. 74 Abs. 2 lit. a BGG ist hingegen erfüllt, wenn ein allgemeines und dringendes Interesse besteht, dass eine umstrittene Frage höchstrichterlich geklärt wird, um eine einheitliche Anwendung und Auslegung des Bundesrechts herbeizuführen und damit eine erhebliche Rechtsunsicherheit auszuräumen ( BGE 139 III 182 E. 1.2 S. 185, 209 E. 1.2 S. 210 ; 138 I 232 E. 2.3; 135 III 1 E. 1.3 S. 4, 397 E. 1.2; 133 III 645 E. 2.4 S. 649 f.). Es ist erforderlich, dass die Frage von allgemeiner Tragweite ist ( BGE 139 II 340 E. 4 S. 343; 134 III 267 E. 1.2). Eine vom Bundesgericht bereits entschiedene Rechtsfrage kann von grundsätzlicher Bedeutung sein, wenn sich die erneute Überprüfung aufdrängt. Dies kann zutreffen, wenn die Rechtsprechung nicht einheitlich oder in der massgebenden Lehre auf erhebliche Kritik gestossen ist ( BGE 139 II 340 E. 4 S. 343; 134 III 354 E. 1.3).</w:t>
      </w:r>
    </w:p>
    <w:p>
      <w:r>
        <w:t>Ist eine Beschwerde nur unter der Voraussetzung zulässig, dass sich eine Rechtsfrage von grundsätzlicher Bedeutung stellt, ist in der Beschwerdeschrift auszuführen, warum diese Voraussetzung erfüllt ist ( Art. 42 Abs. 2 BGG ), ansonsten die Beschwerde in Zivilsachen unzulässig und nicht darauf einzutreten ist ( BGE 139 II 340 E. 4 S. 342; 133 III 439 E. 2.2.2.1, 645 E. 2.4).</w:t>
      </w:r>
    </w:p>
    <w:p>
      <w:r>
        <w:rPr>
          <w:b/>
        </w:rPr>
        <w:t>E. 1.3</w:t>
      </w:r>
    </w:p>
    <w:p>
      <w:r>
        <w:t>Nach Auffassung des Beschwerdeführers stellt sich im vorliegenden Beschwerdeverfahren die Frage, ob es sich bei der Einreichung einer Strafanzeige um ein zustimmungsbedürftiges Geschäft im Sinne von Art. 421 Ziff. 8 aZGB bzw. nun von Art. 416 Abs. 1 Ziff. 9 ZGB handelt. Gemäss dem Beschwerdeführer handle es sich bei dieser vom Bundesgericht noch nie entschiedenen Frage um eine Rechtsfrage von grundsätzlicher Bedeutung, an deren Klärung auch im Interesse der Rechtssicherheit ein allgemeines Interesse bestehe.</w:t>
      </w:r>
    </w:p>
    <w:p>
      <w:r>
        <w:rPr>
          <w:b/>
        </w:rPr>
        <w:t>E. 1.4</w:t>
      </w:r>
    </w:p>
    <w:p>
      <w:r>
        <w:t>Die Argumentation des Beschwerdeführers verfängt nicht. Wie die Vorinstanz zutreffend ausgeführt hat, spielt die Frage nach der Zustimmungsbedürftigkeit der Einreichung einer Strafanzeige vorliegend keine Rolle. Denn selbst wenn zwischen dem Beschwerdeführer und der verbeirateten C.________ mangels Zustimmung durch die Vormundschaftsbehörde kein Auftragsverhältnis zustande gekommen sein sollte, bedeutet dies nicht, dass ein solches stattdessen mit der Beschwerdegegnerin als Beirätin entstanden wäre. Vorliegend geht es aber einzig darum, ob die Beschwerdegegnerin (nicht C.________) gegenüber dem Beschwerdeführer eine Schuldnerstellung eingenommen hat. Die Frage der Zustimmungsbedürftigkeit i.S. von Art. 421 Ziff. 8 aZGB bzw. nunmehr Art. 416 Abs. 1 Ziff. 9 ZGB ist diesbezüglich ohne Belang. Eine Rechtsfrage von grundsätzlicher Bedeutung im Sinne von Art. 74 Abs. 2 lit. a BGG stellt sich mithin nicht.</w:t>
      </w:r>
    </w:p>
    <w:p>
      <w:r>
        <w:rPr>
          <w:b/>
        </w:rPr>
        <w:t>E. 1.5</w:t>
      </w:r>
    </w:p>
    <w:p>
      <w:r>
        <w:t>Der Beschwerdeführer hält auch dafür, die Frage sei von grundsätzlicher Bedeutung, welche Anträge zu den Kosten des Schlichtungsverfahrens im Hauptprozess noch gestellt werden können. Er zeigt jedoch nicht ansatzweise auf, inwiefern diesbezüglich ein allgemeines und dringendes Interesse nach Klärung bestehen soll. Er legt namentlich auch nicht dar, dass die Frage in der Literatur kontrovers diskutiert, geschweige denn in der Praxis Probleme bereiten würde. Eine Rechtsfrage von grundsätzlicher Bedeutung im Sinne von Art. 74 Abs. 2 lit. a BGG stellt sich mithin auch diesbezüglich nicht.</w:t>
      </w:r>
    </w:p>
    <w:p>
      <w:r>
        <w:rPr>
          <w:b/>
        </w:rPr>
        <w:t>E. 2</w:t>
      </w:r>
    </w:p>
    <w:p>
      <w:r>
        <w:t>Auf die Beschwerde in Zivilsachen ist nicht einzutreten, womit sich die ebenfalls erhobene subsidiäre Verfassungsbeschwerde grundsätzlich als zulässig erweist ( Art. 113 BGG ). Zu prüfen ist allerdings, ob diese den gesetzlichen Anforderungen entsprechend begründet wurde.</w:t>
      </w:r>
    </w:p>
    <w:p>
      <w:r>
        <w:rPr>
          <w:b/>
        </w:rPr>
        <w:t>E. 2.1</w:t>
      </w:r>
    </w:p>
    <w:p>
      <w:r>
        <w:t>Einziger Beschwerdegrund bei der subsidiären Verfassungsbeschwerde ist die Verletzung verfassungsmässiger Rechte ( Art. 116 BGG ). Diesbezüglich gilt eine qualifizierte Rügepflicht. Das Bundesgericht prüft die Verletzung verfassungsmässiger Rechte nur, wenn diese Rüge gemäss den Anforderungen von Art. 106 Abs. 2 i.V.m. Art. 117 BGG ausdrücklich vorgebracht und klar und detailliert begründet wird ( BGE 138 I 171 E. 1.4 ; 136 I 332 E. 2.1; 134 V 138 E. 2.1 S. 143; 133 III 439 E. 3.2 S. 444). In einer Verfassungsbeschwerde muss rechtsgenügend dargelegt werden, welche verfassungsmässigen Rechte durch das kantonale Gericht inwiefern verletzt worden sind, und solche Rügen sind unter Bezugnahme auf die Erwägungen des angefochtenen Entscheids klar und detailliert zu begründen ( BGE 135 III 232 E. 1.2 S. 234; 133 III 589 E. 2 S. 591 f.).</w:t>
      </w:r>
    </w:p>
    <w:p>
      <w:r>
        <w:t>Wird Willkür geltend gemacht, ist zu beachten, dass Willkür nicht schon dann vorliegt,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139 III 334 E. 3.2.5 S. 339; 138 IV 13 E. 5.1 S. 22; 134 II 124 E. 4.1; 132 III 209 E. 2.1 ; 131 I 57 E. 2, 467 E. 3.1). Inwiefern der angefochtene Entscheid offensichtlich unhaltbar sein soll, muss der Beschwerdeführer im Einzelnen aufzeigen; er darf sich nicht damit begnügen, diesen pauschal als willkürlich zu bezeichnen ( BGE 134 II 349 E. 3 S. 352 ; 133 I 1 E. 5.5 S. 5).</w:t>
      </w:r>
    </w:p>
    <w:p>
      <w:r>
        <w:rPr>
          <w:b/>
        </w:rPr>
        <w:t>E. 2.2</w:t>
      </w:r>
    </w:p>
    <w:p>
      <w:r>
        <w:t>Das Bundesgericht legt seinem Urteil den Sachverhalt zugrunde, den die Vorinstanz festgestellt hat ( Art. 118 Abs. 1 BGG ). Es kann davon nur abweichen, wenn die Sachverhaltsfeststellung unter Verletzung eines verfassungsmässigen Rechts zustande kam ( Art. 118 Abs. 2 und Art. 116 BGG ). Wird Letzteres geltend gemacht, ist neben der Erheblichkeit der gerügten Tatsachenfeststellung für den Ausgang des Verfahrens klar und detailliert darzutun, inwiefern diese verfassungswidrig, insbesondere willkürlich, sein soll ( BGE 136 I 332 E. 2.2; 133 III 393 E. 7.1 S. 398, 585 E. 4.1 S. 588 f.).</w:t>
      </w:r>
    </w:p>
    <w:p>
      <w:r>
        <w:rPr>
          <w:b/>
        </w:rPr>
        <w:t>E. 2.3</w:t>
      </w:r>
    </w:p>
    <w:p>
      <w:r>
        <w:t>Diese Grundsätze verkennt der Beschwerdeführer, soweit er auf den Seiten 3 - 6 seiner Beschwerdeschrift eine offensichtlich unrichtige bzw. unvollständige Sachverhaltsfeststellung rügt, begnügt er sich doch damit, eine eigene Version des Sachverhalts vorzutragen, ohne in einer den Begründungsanforderungen genügenden Weise darzutun, inwiefern die vorinstanzlichen Sachverhaltsfeststellungen geradezu verfassungswidrig sein sollen. Darauf ist nicht einzutreten.</w:t>
      </w:r>
    </w:p>
    <w:p>
      <w:r>
        <w:rPr>
          <w:b/>
        </w:rPr>
        <w:t>E. 2.4</w:t>
      </w:r>
    </w:p>
    <w:p>
      <w:r>
        <w:t>Materiell unbegründet ist die Beschwerde sodann, soweit der Beschwerdeführer eine Verletzung von Art. 9 BV , Art. 29 Abs. 1 BV und Art. 29 Abs. 2 BV geltend macht, indem die Vorinstanz sich angeblich nicht mit seinen Ausführungen betreffend die "Notwendigkeit der Zustimmung der Vormundschaftsbehörde sowie über die rechtlichen Folgen der fehlenden Mitwirkung der verbeirateten Frau C.________" auseinandergesetzt habe. Der Vorwurf trifft nicht zu, hat die Vorinstanz doch in E. 2.2 ausgeführt, dass es vorliegend einzig darum geht, ob zwischen dem Beschwerdeführer und der Beschwerdegegnerin selbst ein Vertrag zustande gekommen ist; diesbezüglich ist die Frage nach der Zustimmungsbedürftigkeit i.S. von Art. 421 Ziff. 8 aZGB bzw. nun von Art. 416 Abs. 1 Ziff. 9 ZGB irrelevant.</w:t>
      </w:r>
    </w:p>
    <w:p>
      <w:r>
        <w:rPr>
          <w:b/>
        </w:rPr>
        <w:t>E. 2.5</w:t>
      </w:r>
    </w:p>
    <w:p>
      <w:r>
        <w:t>Soweit sich der Beschwerdeführer gegen den Entscheid betreffend die Kosten des Schlichtungsverfahrens richtet, begnügt er sich damit, der Vorinstanz eine Verletzung von Art. 239 Abs. 2 ZPO vorzuwerfen und dies gleichzeitig auch noch als Verstoss gegen Art. 9 BV , Art. 29 Abs. 1 BV und Art. 29 Abs. 2 BV zu qualifizieren. Aus einer blossen Verletzung einfachen Bundesrechts kann jedoch noch nicht auf eine Verfassungsverletzung geschlossen werden. Die Beschwerde genügt diesbezüglich den Begründungsanforderungen gemäss Art. 106 Abs. 2 i.V.m. Art. 117 BGG nicht.</w:t>
      </w:r>
    </w:p>
    <w:p>
      <w:r>
        <w:rPr>
          <w:b/>
        </w:rPr>
        <w:t>E. 3</w:t>
      </w:r>
    </w:p>
    <w:p>
      <w:r>
        <w:t>Auf die Beschwerde in Zivilsachen ist nicht einzutreten und die subsidiäre Verfassungsbeschwerde ist abzuweisen, soweit auf sie einzutreten ist.</w:t>
      </w:r>
    </w:p>
    <w:p>
      <w:r>
        <w:t>Bei diesem Ausgang des Verfahrens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