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36/2010 vom 20. April 2010</w:t>
      </w:r>
    </w:p>
    <w:p>
      <w:r>
        <w:t>Bundesgericht, 2010-04-20, FR</w:t>
      </w:r>
    </w:p>
    <w:p>
      <w:r>
        <w:rPr>
          <w:b/>
        </w:rPr>
        <w:t xml:space="preserve">Quelle: </w:t>
      </w:r>
      <w:r>
        <w:t>https://mcp.opencaselaw.ch/entscheid/bger_4A_36_2010</w:t>
      </w:r>
    </w:p>
    <w:p>
      <w:r>
        <w:t>FR: TF 4A 36/2010 du 20 avril 2010</w:t>
      </w:r>
    </w:p>
    <w:p>
      <w:r>
        <w:t>IT: TF 4A 36/2010 del 20 aprile 2010</w:t>
      </w:r>
    </w:p>
    <w:p>
      <w:pPr>
        <w:pStyle w:val="Heading2"/>
      </w:pPr>
      <w:r>
        <w:t>Regeste</w:t>
      </w:r>
    </w:p>
    <w:p>
      <w:r>
        <w:t>droit de l'actionnaire à l'information; abus de droit | Droit des sociétés</w:t>
      </w:r>
    </w:p>
    <w:p>
      <w:pPr>
        <w:pStyle w:val="Heading2"/>
      </w:pPr>
      <w:r>
        <w:t>Erwägungen</w:t>
      </w:r>
    </w:p>
    <w:p>
      <w:r>
        <w:rPr>
          <w:b/>
        </w:rPr>
        <w:t>E. 1</w:t>
      </w:r>
    </w:p>
    <w:p>
      <w:r>
        <w:t>Le Tribunal fédéral examine d'office et librement la recevabilité des recours qui lui sont soumis ( ATF 135 III 1 consid. 1.1 p. 3, 329 consid. 1 p. 331).</w:t>
      </w:r>
    </w:p>
    <w:p>
      <w:r>
        <w:rPr>
          <w:b/>
        </w:rPr>
        <w:t>E. 1.1</w:t>
      </w:r>
    </w:p>
    <w:p>
      <w:r>
        <w:t>Le jugement entrepris est une décision rendue en matière civile (cf. art. 72 al. 1 LTF ). S'il n'appartient pas aux droits patrimoniaux, comme le droit au dividende par exemple, le droit à l'information prévu à l' art. 697 CO tend néanmoins à protéger les intérêts patrimoniaux de l'actionnaire. Une contestation à son sujet est ainsi de nature pécuniaire au sens de l' art. 74 al. 1 LTF (cf. mutatis mutandis sous l'ancien droit de procédure fédéral pour le droit au contrôle spécial ATF 120 II 393 consid. 2 p. 395). Dans les affaires pécuniaires ne relevant ni du droit du travail ni du droit du bail à loyer, le recours en matière civile n'est en principe recevable que si la valeur litigieuse s'élève à 30'000 fr. au moins ( art. 74 al. 1 let. b LTF ). En l'espèce, le juge cantonal a fixé la valeur litigieuse à un montant inférieur à 8'000 fr. et a conclu ainsi que seul le pourvoi en nullité, à l'exclusion de l'appel, était ouvert au niveau cantonal. Dans son écriture au Tribunal fédéral, le recourant reconnaît que la valeur litigieuse minimale de 30'000 fr. n'est pas atteinte en l'occurrence, mais soutient que le recours en matière civile est tout de même ouvert sur la base de l' art. 74 al. 2 let. a LTF , parce que la contestation soulèverait une question juridique de principe. Cette notion s'interprète de manière restrictive. Il doit se poser une question juridique donnant lieu à une incertitude caractérisée, laquelle appelle de manière pressante un éclaircissement de la part de l'autorité judiciaire suprême chargée de dégager une interprétation uniforme du droit fédéral ( ATF 135 III 397 consid. 1.2 p. 399 et les arrêts cités). Lorsque le point soulevé ne concerne que l'application de principes jurisprudentiels à un cas particulier, il ne saurait être qualifié de question juridique de principe ( ATF 133 III 493 consid. 1.2 p. 496). En l'espèce, le recourant ne démontre pas de manière circonstanciée ( art. 42 al. 2 LTF ) en quoi son recours porterait sur une question juridique de principe (cf. ATF 133 III 439 consid. 2.2.2.1 p. 442). En particulier, le point de savoir si l'exercice de l'action en information prévue à l' art. 697 al. 4 CO est soumis à un délai n'est pas l'enjeu de la présente affaire. En effet, l'autorité cantonale, jurisprudence du Tribunal fédéral à l'appui, a précisément relevé que cette action n'était soumise à aucun délai de péremption; elle s'est référée à l'écoulement du temps uniquement pour apprécier l'intérêt de l'actionnaire moyen, ce qui n'a rien à voir avec une question juridique de principe. Au surplus, les conditions et la portée du droit de consultation de l'actionnaire ont été décrites dans l' ATF 132 III 71 (consid. 1 p. 73 ss), lequel contient également un passage sur les modalités d'exercice du droit aux renseignements (consid. 2 p. 81 ss). En conséquence, seul le recours constitutionnel subsidiaire est ouvert en l'espèce ( art. 113 LTF ).</w:t>
      </w:r>
    </w:p>
    <w:p>
      <w:r>
        <w:rPr>
          <w:b/>
        </w:rPr>
        <w:t>E. 1.2</w:t>
      </w:r>
    </w:p>
    <w:p>
      <w:r>
        <w:t>Le jugement attaqué est une décision finale ( art. 117 et 90 al. 1 LTF ). Le recourant a pris part à l'instance précédente et a succombé dans ses conclusions; il a donc qualité pour recourir ( art. 115 LTF ). Déposé en temps utile ( art. 117 et 100 al. 1 LTF ; art. 45 al. 1 et art. 46 al. 1 let . c LTF) et dans la forme requise ( art. 42 LTF ), le recours est recevable.</w:t>
      </w:r>
    </w:p>
    <w:p>
      <w:r>
        <w:rPr>
          <w:b/>
        </w:rPr>
        <w:t>E. 1.3</w:t>
      </w:r>
    </w:p>
    <w:p>
      <w:r>
        <w:t>Comme cela ressort de son intitulé, le recours constitutionnel subsidiaire ne peut être formé que pour violation des droits constitutionnels, dont notamment l'interdiction de l'arbitraire ( art. 116 LTF ). Le Tribunal fédéral n'examine que les griefs soulevés et motivés de façon détaillée par la partie recourante ( art. 117 et 106 al. 2 LTF ). L'auteur du recours doit indiquer quel droit constitutionnel a été violé, selon lui, et montrer, par une argumentation circonstanciée, en quoi consiste la violation ( ATF 134 I 83 consid. 3.2 p. 88; 133 III 439 consid. 3.2 p. 444). Le Tribunal fédéral conduit son raisonnement juridique sur la base des faits établis par l'autorité précédente ( art. 118 al. 1 LTF ). Il ne peut s'en écarter que si les faits ont été établis en violation d'un droit constitutionnel ( art. 118 al. 2 et 116 LTF ), ce que la partie recourante doit invoquer avec précision ( art. 117 et 106 al. 2 LTF ; ATF 133 III 439 consid. 3.2 p. 445). Aucun fait nouveau ni preuve nouvelle ne peut être présenté à moins de résulter de la décision de l'autorité précédente ( art. 117 et 99 al. 1 LTF ).</w:t>
      </w:r>
    </w:p>
    <w:p>
      <w:r>
        <w:rPr>
          <w:b/>
        </w:rPr>
        <w:t>E. 2</w:t>
      </w:r>
    </w:p>
    <w:p>
      <w:r>
        <w:t>Le jugement attaqué repose sur deux motivations indépendantes. D'une part, l'autorité cantonale a considéré que le juge de district n'avait pas versé dans l'arbitraire en jugeant que les informations requises n'étaient pas nécessaires au recourant pour lui permettre d'exercer ses droits d'actionnaire. D'autre part, elle a jugé que, même si tel avait été le cas, la requête apparaissait abusive au regard du but poursuivi en réalité par le recourant. Conformément aux exigences déduites de l' art. 42 al. 2 LTF ( ATF 133 IV 119 consid. 6.3 p. 120 s. et les arrêts cités), le recourant s'en prend à chacune de ces motivations de sorte que son recours est recevable à cet égard.</w:t>
      </w:r>
    </w:p>
    <w:p>
      <w:r>
        <w:rPr>
          <w:b/>
        </w:rPr>
        <w:t>E. 3</w:t>
      </w:r>
    </w:p>
    <w:p>
      <w:r>
        <w:t>Il convient d'examiner tout d'abord la seconde motivation du jugement attaqué. Le recourant fait valoir à ce propos que le juge cantonal a retenu de manière arbitraire un abus de droit, conduisant au rejet de l'action. L'actionnaire s'en prend en particulier à la constatation de l'autorité précédente selon laquelle, en usant de son droit à l'information, il cherchait à exercer une certaine pression sur le conseil d'administration de l'intimée afin que ce dernier retire la proposition de révocation de A.________ de l'ordre du jour de l'assemblée générale du 28 septembre 2007. A lire le recours, cette constatation ne reposerait sur aucun élément concret. La demande d'informations sur les placements litigieux n'aurait pas été de nature à exercer une quelconque pression sur le conseil d'administration. De plus, A.________ a été finalement révoqué sans que le recourant ait pu obtenir les renseignements requis. Enfin, si le courrier du 18 septembre 2007 de l'actionnaire contenait bien une demande de renseignements et une requête relative au point 8 de l'ordre du jour, on ne saurait, de l'avis du recourant, en tirer la conclusion que les deux démarches étaient indissociablement liées, sauf à exiger de tout actionnaire qui entend déposer une requête et émettre une proposition de le faire par lettres séparées, ce qui relèverait du formalisme excessif.</w:t>
      </w:r>
    </w:p>
    <w:p>
      <w:r>
        <w:rPr>
          <w:b/>
        </w:rPr>
        <w:t>E. 3.1</w:t>
      </w:r>
    </w:p>
    <w:p>
      <w:r>
        <w:t>Aux termes de l' art. 2 al. 2 CC ,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sont l'absence d'intérêt à l'exercice d'un droit, l'utilisation d'une institution juridique contrairement à son but, la disproportion manifeste des intérêts en présence, l'exercice d'un droit sans ménagement et l'attitude contradictoire ( ATF 135 III 162 consid. 3.3.1 p. 169 et les arrêts cités). Le droit à l'information institué à l' art. 697 CO comprend un droit aux renseignements et un droit de consultation. A l'instar de n'importe quel autre droit, son exercice est soumis à la réserve de l'abus de droit. Il est ainsi abusif de la part d'un actionnaire de faire valoir son droit à l'information en poursuivant des buts étrangers à ceux visés par la norme, par exemple en agissant de manière chicanière ou égoïste, contrairement à l'intérêt général de la société, en cherchant à satisfaire les intérêts de la concurrence ou à causer intentionnellement un dommage à la société (arrêt 4C.234/2002 du 4 juin 2003 consid. 4.2.4, in Pra 2004 n° 68 p. 390; ROLF H. WEBER, in Basler Kommentar, Obligationenrecht II, 3e éd. 2008, n° 7 ad art. 697 CO ; LARISSA MAROLDA MARTINEZ, Information der Aktionäre nach schweizerischem Aktien- und Kapitalmarktrecht, 2006, p. 146; FABRIZIO GABRIELLI, Das Verhältnis des Rechts auf Auskunftserteilung zum Recht auf Einleitung einer Sonderprüfung, 1997, p. 31; FORSTMOSER/MEIER-HAYOZ/NOBEL, Schweizerisches Aktienrecht, 1996, § 40 n° 172 p. 505). Le but du droit aux renseignements et du droit à la consultation est de permettre à l'actionnaire d'obtenir les informations nécessaires pour exercer ses droits de manière judicieuse. Les droits d'actionnaire en jeu concernent en particulier le vote (approbation des comptes annuels, répartition du bénéfice, élections, décharge), l'institution d'un contrôle spécial, l'opposition aux décisions de l'assemblée générale, l'introduction d'une action en responsabilité et la vente d'actions ( ATF 132 III 71 consid. 1.3 p. 75 s. et les références). Par ailleurs, la jurisprudence a précisé que le seul écoulement du temps ne suffisait pas à fonder un abus de droit. En l'absence d'éléments supplémentaires, le fait que l'actionnaire ait tardé à déposer une requête sur la base de l' art. 697 al. 4 CO ne révèle pas un comportement abusif (arrêt précité du 4 juin 2003 consid. 3.2).</w:t>
      </w:r>
    </w:p>
    <w:p>
      <w:r>
        <w:rPr>
          <w:b/>
        </w:rPr>
        <w:t>E. 3.2</w:t>
      </w:r>
    </w:p>
    <w:p>
      <w:r>
        <w:t>En l'espèce, les faits sur lesquels le recourant entendait obtenir des éclaircissements se sont déroulés à la fin des années 1990. Selon les constatations de l'autorité cantonale, l'actionnaire a eu connaissance des faits litigieux au plus tard en automne 2005. Or, il a exercé son droit à l'information pour la première fois dans sa lettre du 18 septembre 2007, soit environ deux ans plus tard. Cette constatation lie le Tribunal fédéral. Certes, le recourant prétend à présent n'avoir «eu de cesse de requérir des renseignements (...) dès qu'il a eu connaissance des démarches entreprises par le Conseil d'administration de Y.________ en vue du placement litigieux, soit en 2005 au plus tôt». Mais cette simple allégation, qui n'est assortie d'aucune démonstration, ne saurait manifestement établir que la constatation cantonale au sujet des démarches du recourant est entachée d'arbitraire. A lui seul, le fait que l'actionnaire ait attendu aussi longtemps avant d'interpeller le conseil d'administration ne suffit pas à rendre abusif l'exercice du droit à l'information. Cet élément doit toutefois être mis en relation avec le contenu de la demande du 18 septembre 2007. Dans ce document, le recourant commence par s'insurger contre la révocation de A.________ proposée par le conseil d'administration de l'intimée, puis mentionne immédiatement après les opérations financières litigieuses, en s'interrogeant de manière faussement naïve sur les reproches faits à A.________. Plus loin, le recourant lie clairement son opposition à la révocation avec l'affaire financière de la fin des années 1990, en demandant que le point 8 de l'ordre du jour - portant sur la révocation - soit «remplacé par un compte rendu chiffré de ces pertes et du risque de faillite encouru par [la] société», voire par une rubrique relative à la «responsabilité solidaire des initiateurs». Le recourant précise même, selon ses propres termes, que c'est par «compassion» pour les administrateurs qu'il n'a pas «soulevé le lièvre» lors de la dernière assemblée générale, en 2006. L'autorité cantonale pouvait sans arbitraire interpréter ces lignes comme une tentative de faire retirer le point 8 de l'ordre du jour en exerçant une certaine pression sur le conseil d'administration par l'évocation d'une opération malheureuse. Quelque temps après l'assemblée générale du 28 septembre 2007 ayant sursis à la révocation de A.________, le recourant a adressé un message au président du conseil d'administration pour se féliciter de cette décision et, dans la foulée, réclamer des renseignements à propos des opérations financières litigieuses. Et le jour même où l'assemblée générale a finalement révoqué A.________, l'actionnaire a agi par l'entremise de son avocat en demandant les comptes et des explications sur les écritures comptables enregistrées à la suite de l'«affaire de 2005», une action en justice étant d'ores et déjà réservée pour le cas où il n'obtiendrait pas satisfaction. Vu le déroulement des faits, il n'était pas arbitraire de la part du juge cantonal de déduire que, ce faisant, le recourant mettait ses menaces à exécution. Il convient d'ajouter à ce propos que, selon le jugement attaqué, le recourant lui-même a déclaré dans ses écritures cantonales n'avoir jamais eu l'intention de déposer une action en responsabilité contre les administrateurs. En conclusion, le long laps de temps mis par le recourant pour demander des renseignements et la consultation de documents internes à la société, ainsi que l'interprétation de son attitude telle que dégagée sans arbitraire par l'autorité cantonale autorisaient celle-ci à constater que le recourant ne cherchait pas réellement à obtenir les renseignements nécessaires à l'exercice de ses droits d'actionnaire et, partant, que le but poursuivi, visant avant tout à déstabiliser le conseil d'administration, était exorbitant de la finalité du droit à l'information telle que voulue par le législateur. Sur le vu de ce qui précède, la motivation du jugement attaqué relative à l'abus de droit commis par le recourant résiste au grief d'arbitraire. Comme cette argumentation suffit à fonder le rejet de la requête, le recours constitutionnel sera rejeté sans qu'il soit nécessaire d'examiner l'autre motivation développée par le juge cantonal.</w:t>
      </w:r>
    </w:p>
    <w:p>
      <w:r>
        <w:rPr>
          <w:b/>
        </w:rPr>
        <w:t>E. 4</w:t>
      </w:r>
    </w:p>
    <w:p>
      <w:r>
        <w:t>Vu le sort réservé aux recours, leur auteur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