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368/2022 vom 18. Oktober 2022</w:t>
      </w:r>
    </w:p>
    <w:p>
      <w:r>
        <w:t>Bundesgericht, 2022-10-18, FR</w:t>
      </w:r>
    </w:p>
    <w:p>
      <w:r>
        <w:rPr>
          <w:b/>
        </w:rPr>
        <w:t xml:space="preserve">Quelle: </w:t>
      </w:r>
      <w:r>
        <w:t>https://mcp.opencaselaw.ch/entscheid/bger_4A_368_2022</w:t>
      </w:r>
    </w:p>
    <w:p>
      <w:r>
        <w:t>FR: TF 4A 368/2022 du 18 octobre 2022</w:t>
      </w:r>
    </w:p>
    <w:p>
      <w:r>
        <w:t>IT: TF 4A 368/2022 del 18 ottobre 2022</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notamment à raison de la valeur litigieuse. Demeure réservé l'examen de la recevabilité des différents griefs invoqués par la recourante.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L'arbitraire ne résulte pas du seul fait qu'une autre solution serait concevable, voire préférable ( ATF 144 III 145 consid. 2).</w:t>
      </w:r>
    </w:p>
    <w:p>
      <w:r>
        <w:rPr>
          <w:b/>
        </w:rPr>
        <w:t>E. 3.1.1</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 132 III 115 consid. 2.1).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 ATF 136 III 513 consid. 2.3; 132 III 115 consid. 2.2 et 2.4). Un licenciement peut notamment être abusif si l'employeur exploite de la sorte sa propre violation du devoir imposé par l' art. 328 CO de protéger la personnalité du travailleur ( ATF 125 III 70 consid. 2a; arrêt 4A_266/2020 du 23 septembre 2020 consid. 3.1). Le congé est également abusif lorsqu'il est donné par une partie parce que le cocontractant fait valoir de bonne foi des prétentions résultant du contrat de travail (congé-représailles; art. 336 al. 1 let . d CO). Pour dire si un congé est abusif, il faut se fonder sur son motif réel (arrêt 4A_638/2020 du 7 mai 2021 consid. 4 et les références citées). Déterminer le motif d'une résiliation est une question de fait ( ATF 136 III 513 consid. 2.3). En revanche, savoir si le congé est abusif relève du droit (arrêt 4A_714/2014 du 22 mai 2015 consid. 3.3). La partie qui résilie abusivement le contrat doit verser à l'autre une indemnité ( art. 336a al. 1 CO ). Celle-ci est fixée par le juge, compte tenu de toutes les circonstances; toutefois, elle ne peut dépasser le montant correspondant à six mois de salaire du travailleur ( art. 336a al. 2 CO ).</w:t>
      </w:r>
    </w:p>
    <w:p>
      <w:r>
        <w:rPr>
          <w:b/>
        </w:rPr>
        <w:t>E. 3.1.2</w:t>
      </w:r>
    </w:p>
    <w:p>
      <w:r>
        <w:t>En application de l' art. 8 CC ,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arrêt 4A_217/2016 du 19 janvier 2017 consid. 4.1). L' art. 8 CC règle la répartition du fardeau de la preuve et détermine quelle partie doit assumer les conséquences de l'échec de la preuve.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3.2</w:t>
      </w:r>
    </w:p>
    <w:p>
      <w:r>
        <w:t>La cour cantonale a considéré que le licenciement de l'intimé était abusif. Sur la base des preuves à sa disposition, elle a tout d'abord estimé que l'altercation survenue entre D.________ et l'intimé n'avait pas été uniquement verbale mais aussi physique. L'autorité précédente a en outre retenu que le motif du congé avancé par la recourante n'était qu'un prétexte, les prétentions légitimes émises par l'intimé constituant le motif réel du licenciement. La recourante n'avait du reste pris aucune mesure visant à protéger la personnalité de l'intimé, nonobstant les demandes formulées en ce sens par ce dernier. Dans ces conditions, le congé devait être qualifié d'abusif au sens de l' art. 336 al. 1 let . d CO.</w:t>
      </w:r>
    </w:p>
    <w:p>
      <w:r>
        <w:rPr>
          <w:b/>
        </w:rPr>
        <w:t>E. 4</w:t>
      </w:r>
    </w:p>
    <w:p>
      <w:r>
        <w:t>Dans un premier moyen, la recourante reproche à la cour cantonale d'avoir enfreint son droit d'être entendue en n'examinant pas son argumentation selon laquelle l'autorité de première instance avait violé l' art. 8 CC en procédant à un renversement du fardeau de la preuve au moment de rechercher le motif réel du congé et de déterminer s'il y avait eu ou non une altercation physique entre D.________ et l'intimé. En argumentant de la sorte, l'intéressée perd de vue que la question du fardeau de la preuve est dénuée de pertinence, dès lors que les juges précédents ont été convaincus, au terme de leur appréciation des preuves, qu'une telle altercation avait bel et bien eu lieu et qu'ils ont réussi à identifier le motif réel du congé. Le grief tiré de violation de l' art. 8 CC tombe manifestement à faux.</w:t>
      </w:r>
    </w:p>
    <w:p>
      <w:r>
        <w:rPr>
          <w:b/>
        </w:rPr>
        <w:t>E. 5</w:t>
      </w:r>
    </w:p>
    <w:p>
      <w:r>
        <w:t>Dans un deuxième groupe de moyens, l'intéressée, invoquant l' art. 97 al. 1 LTF , soutient que la juridiction cantonale aurait établi les faits de manière manifestement inexacte et procédé à une appréciation arbitraire des preuves lorsqu'elle a recherché le motif réel du licenciement et qu'elle a constaté qu'une altercation physique entre l'intimé et D.________ était intervenue le 24 mai 2019. Dans la mesure où elle s'évertue à démontrer que le motif réel du licenciement était tout autre que celui constaté par la cour cantonale, respectivement qu'il n'y a pas eu d'altercation physique le soir du 24 mai 2019, la recourante oriente exclusivement le débat sur le terrain de la constatation des faits et de l'appréciation des preuves, que le Tribunal fédéral ne revoit que s'il est saisi du grief d'arbitraire dûment invoqué et régulièrement justifié. Or, il saute aux yeux, à la lecture de l'argumentation revêtant un caractère appellatoire manifeste, que l'intéressée confond à l'évidence le Tribunal fédéral avec une juridiction d'appel. Il ne suffit en effet pas d'exposer sa propre vision des choses, à grand renfort d'affirmations péremptoires, pour démontrer que l'appréciation des preuves opérée par la juridiction cantonale serait insoutenable. Après avoir apprécié attentivement les preuves à sa disposition, la cour cantonale a considéré qu'il y avait bel et bien eu une altercation physique entre l'intimé et D.________. En ce qui concerne le motif du congé, elle a souligné que le délai de protection de l'intimé contre le licenciement en temps inopportun avait pris fin le 22 novembre 2019. Or, si la recourante avait déjà connaissance de sa situation financière délicate à ce moment-là, on ne discernait alors pas pour quelle raison elle n'avait pas licencié l'intimé sans attendre. Si en revanche elle ignorait tout de sa baisse du chiffre d'affaires à cette époque-là, il n'était pas crédible qu'elle en ait eu une connaissance plus précise, ou à tout le moins suffisante, durant le mois de décembre 2019, puisque le bouclement des comptes n'était pas encore intervenu, raison pour laquelle elle ne disposait d'aucun motif économique pour licencier l'intimé. Le congé avait en outre été donné après plusieurs échanges de courriers dans lesquels l'intimé avait réclamé à réitérées reprises l'adoption de mesures visant à protéger sa personnalité, raison pour laquelle il s'agissait bel et bien d'un congé-représailles. A la lecture de l'argumentation développée par la recourante, le Tribunal fédéral ne discerne guère sur quels points celle-ci reproche réellement à la juridiction cantonale, sinon par de simples protestations ou dénégations, d'avoir commis une erreur certaine ou d'être parvenue à des constatations insoutenables. L'intéressée se contente, en réalité, de substituer sa propre appréciation des preuves à celle des juges précédents. Sa démonstration ne permet toutefois pas d'établir que les constatations opérées par les juges précédents reposeraient sur une appréciation arbitraire des preuves, étant précisé que la solution à laquelle a abouti l'autorité précédente n'apparaît nullement insoutenable. Il s'ensuit le rejet du grief examiné dans la mesure de sa recevabilité.</w:t>
      </w:r>
    </w:p>
    <w:p>
      <w:r>
        <w:rPr>
          <w:b/>
        </w:rPr>
        <w:t>E. 6</w:t>
      </w:r>
    </w:p>
    <w:p>
      <w:r>
        <w:t>Dans un troisième et dernier moyen, la recourante soutient que l'autorité précédente aurait violé l' art. 336 al. 1 CO en qualifiant le congé litigieux d'abusif. Dans une critique mêlant de manière inextricable les faits et le droit, la recourante fait valoir que l'intimé, en sa qualité de cadre et de supérieur hiérarchique de D.________, aurait lui-même dû aider son employeur à prendre les mesures nécessaires pour aplanir le conflit interpersonnel. Elle fait en outre valoir que le licenciement n'est pas abusif puisque l'intimé a manifesté son intention de ne pas vouloir revenir travailler. Ce faisant, l'intéressée fonde son argumentation sur des faits qui ne ressortent pas de l'arrêt attaqué. En particulier, il n'est pas établi que l'intimé, engagé en qualité d'assistant de direction, aurait effectivement occupé une fonction de cadre respectivement qu'il aurait été le supérieur de D.________. La cour cantonale n'a pas davantage constaté que l'intimé aurait refusé de revenir travailler. Ainsi formulé, le grief examiné ne saurait dès lors prospérer. Pour le reste, on relèvera que la cour cantonale a jugé que les demandes légitimes formulées par l'intimé avaient conduit à son licenciement, de sorte qu'il existait un lien de causalité entre ces deux éléments. Or, déterminer s'il existe un rapport de causalité naturelle est une question de fait, que le Tribunal fédéral ne peut corriger que si elle se révèle arbitraire ( ATF 136 III 513 consid. 2.6). Pourtant, la recourante n'invoque pas l'arbitraire. En tout état de cause, elle ne parvient pas à démontrer que l'autorité précédente aurait versé dans l'arbitraire en retenant un lien de causalité entre, d'une part, le licenciement de l'intimé et, d'autre part, le conflit opposant D.________ et l'intimé ainsi que les revendications de ce dernier à cet égard. Pour le surplus, la recourante échoue à établir que le congé donné pour le motif établi dans l'arrêt attaqué ne serait pas abusif.</w:t>
      </w:r>
    </w:p>
    <w:p>
      <w:r>
        <w:rPr>
          <w:b/>
        </w:rPr>
        <w:t>E. 7</w:t>
      </w:r>
    </w:p>
    <w:p>
      <w:r>
        <w:t>Au vu de ce qui précède, le recours doit être rejeté dans la mesure de sa recevabilité. La recourante, qui succombe, devra payer les frais de la procédure fédérale ( art. 66 al. 1 LTF ).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