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368/2010 vom 30. September 2010</w:t>
      </w:r>
    </w:p>
    <w:p>
      <w:r>
        <w:t>Bundesgericht, 2010-09-30, FR</w:t>
      </w:r>
    </w:p>
    <w:p>
      <w:r>
        <w:rPr>
          <w:b/>
        </w:rPr>
        <w:t xml:space="preserve">Quelle: </w:t>
      </w:r>
      <w:r>
        <w:t>https://mcp.opencaselaw.ch/entscheid/bger_4A_368_2010</w:t>
      </w:r>
    </w:p>
    <w:p>
      <w:r>
        <w:t>FR: TF 4A 368/2010 du 30 septembre 2010</w:t>
      </w:r>
    </w:p>
    <w:p>
      <w:r>
        <w:t>IT: TF 4A 368/2010 del 30 settembre 2010</w:t>
      </w:r>
    </w:p>
    <w:p>
      <w:pPr>
        <w:pStyle w:val="Heading2"/>
      </w:pPr>
      <w:r>
        <w:t>Regeste</w:t>
      </w:r>
    </w:p>
    <w:p>
      <w:r>
        <w:t>bail à loyer | Droit des contrats</w:t>
      </w:r>
    </w:p>
    <w:p>
      <w:pPr>
        <w:pStyle w:val="Heading2"/>
      </w:pPr>
      <w:r>
        <w:t>Erwägungen</w:t>
      </w:r>
    </w:p>
    <w:p>
      <w:r>
        <w:rPr>
          <w:b/>
        </w:rPr>
        <w:t>E. 1</w:t>
      </w:r>
    </w:p>
    <w:p>
      <w:r>
        <w:t>En l'occurrence, le recourant conteste l'existence de tout contrat de bail à ferme non agricole.</w:t>
      </w:r>
    </w:p>
    <w:p>
      <w:r>
        <w:rPr>
          <w:b/>
        </w:rPr>
        <w:t>E. 1.1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et 6.2 p. 288).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2</w:t>
      </w:r>
    </w:p>
    <w:p>
      <w:r>
        <w:t>Après avoir apprécié le contenu du courrier adressé le 8 septembre 2008 par les parties et A.________ à V.________ AG, de même que la teneur des correspondances des 7 novembre 2007 et 11 février 2008 du recourant, l'autorité cantonale a considéré que la gestion du "Night-club ..." a bien été confiée au recourant, conformément à ce qui ressort du contrat intitulé "contrat de gérance libre", signé le 18 février 2007. L'autorité genevoise a qualifié ce dernier de contrat de bail à ferme non agricole au sens des art. 275 ss CO . Le recourant reproche à la cour cantonale d'avoir dressé arbitrairement l'état de fait et d'avoir violé le droit fédéral, en particulier les art. 530 ss CO . De son point de vue, les parties étaient, dans le cadre de leur relation juridique et économique, associées et non pas liées par un contrat de bail. Dès lors, il y avait lieu de faire application des dispositions relatives à la société simple, en lieu et place des art. 275 ss CO , qui traitent du bail à ferme non agricole. Sous l'angle de la critique des faits, le recourant stigmatise l'existence d'une "relation découlant des règles en matière de contrat de bail". Il se limite à soutenir de manière péremptoire que les parties sont associées, sans même se référer à l'appréciation faite par l'autorité cantonale des différentes pièces figurant au dossier, en particulier des correspondances du recourant, laquelle appréciation a permis d'aboutir à la constatation que la gestion du "Night-club ..." a bien été confiée au recourant, comme indiqué dans le contrat du 18 février 2007. Il va sans dire que cette manière de procéder est impropre à démontrer l'arbitraire. Le grief est irrecevable au regard de l' art. 42 al. 2 LTF . Dès lors que la thèse qui fonde l'application des art. 530 ss CO ne trouve aucun appui dans l'état de fait déterminant, le grief dénonçant une violation de ces dernières dispositions est également irrecevable. On relèvera enfin que la conclusion tendant à faire constater l'inefficacité du congé et à faire dire et prononcer qu'il n'existe aucun motif pouvant justifier le congé apparaît en contradiction avec l'argument du recourant qui plaide l'inexistence de tout contrat de bail entre les parties. Au reste, le recourant ne s'en prend pas aux considérants décisifs de la décision attaquée et échoue donc à démontrer en quoi cette dernière consacrerait une violation des dispositions fédérales en matière de bail à ferme. On ne décèle, de surcroît, sur la base des faits souverainement retenus, aucune violation du droit fédéral. En conséquence, le recours se révèle irrecevable.</w:t>
      </w:r>
    </w:p>
    <w:p>
      <w:r>
        <w:rPr>
          <w:b/>
        </w:rPr>
        <w:t>E. 3</w:t>
      </w:r>
    </w:p>
    <w:p>
      <w:r>
        <w:t>Les frais judiciaires et les dépens sont mis à la charge de la partie qui succombe (art. 66 al. 1 et 68 al. 1 et 2 LTF). La conclusion de l'intimé tendant à la condamnation du recourant à une amende disciplinaire est irrecevable. Au surplus, il n'y a pas matière à infliger à ce dernier une telle amende ( art. 33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