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4A_367/2010 vom 4. Oktober 2010</w:t>
      </w:r>
    </w:p>
    <w:p>
      <w:r>
        <w:t>Bundesgericht, 2010-10-04, FR</w:t>
      </w:r>
    </w:p>
    <w:p>
      <w:r>
        <w:rPr>
          <w:b/>
        </w:rPr>
        <w:t xml:space="preserve">Quelle: </w:t>
      </w:r>
      <w:r>
        <w:t>https://mcp.opencaselaw.ch/entscheid/bger_4A_367_2010</w:t>
      </w:r>
    </w:p>
    <w:p>
      <w:r>
        <w:t>FR: TF 4A_367/2010 du 4 octobre 2010</w:t>
      </w:r>
    </w:p>
    <w:p>
      <w:r>
        <w:t>IT: TF 4A_367/2010 del 4 ottobre 2010</w:t>
      </w:r>
    </w:p>
    <w:p>
      <w:pPr>
        <w:pStyle w:val="Heading2"/>
      </w:pPr>
      <w:r>
        <w:t>Erwägungen</w:t>
      </w:r>
    </w:p>
    <w:p>
      <w:r>
        <w:rPr>
          <w:b/>
        </w:rPr>
        <w:t>E. 1.1</w:t>
      </w:r>
    </w:p>
    <w:p>
      <w:r>
        <w:t>Lorsque, comme c'est le cas en l'espèce, un locataire conteste la validité d'un congé, il faut, pour déterminer la valeur litigieuse, compter au moins trois ans de loyer en raison de la période de protection, s'il obtient gain de cause, prévue par l' art. 271a al. 1 let . e CO ( ATF 136 III 196 consid. 1.1 p. 197; 111 II 384 consid. 1 p. 386). Il n'est donc pas douteux que la valeur litigieuse minimale de 15'000 fr. requise par l' art. 74 al. 1 let. a LTF est ici atteinte.</w:t>
      </w:r>
    </w:p>
    <w:p>
      <w:r>
        <w:t>Interjeté par la partie qui a succombé dans ses conclusions en validation du congé ( art. 76 al. 1 LTF ) et dirigé contre un jugement final ( art. 90 LTF ) rendu en matière civile ( art. 72 al. 1 LTF ) par une autorité cantonale de dernière instance ( art. 75 LTF ) dans une affaire pécuniaire qui atteint la valeur litigieuse requise ( art. 74 al. 1 let. a LTF ), le recours est en principe recevable, puisqu'il a été déposé dans le délai (art. 45 al. 1,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examine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p. 287 et 6.2 p. 288). Une rectification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Si le Tribunal fédéral admet le recours, il peut statuer lui-même sur le fond ( art. 107 al. 2 LTF ) et même répartir autrement les frais de la procédure antérieure ( art. 67 LTF ).</w:t>
      </w:r>
    </w:p>
    <w:p>
      <w:r>
        <w:rPr>
          <w:b/>
        </w:rPr>
        <w:t>E. 2.1</w:t>
      </w:r>
    </w:p>
    <w:p>
      <w:r>
        <w:t>Selon l' art. 257f al. 3 CO ,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 art. 257f al. 3 CO s'applique dans tous les cas où le locataire use de la chose en violation de la loi ou des stipulations du contrat ( ATF 132 III 109 consid. 5 p. 113; 123 III 124 consid. 2a p. 126).</w:t>
      </w:r>
    </w:p>
    <w:p>
      <w:r>
        <w:t>Il résulte de l' art. 262 al. 1 CO que le locataire ne peut sous-louer tout ou partie de la chose sans le consentement du bailleur. En conséquence, remettre la chose à bail à un tiers sans le consentement du bailleur - comme cela s'est produit en l'espèce - constitue en soi une utilisation de la chose qui viole la loi. Une sous-location sans le consentement du bailleur peut justifier une résiliation anticipée du bail selon l' art. 257f al. 3 CO ( ATF 134 III 300 consid. 3.1 p. 302, 446 consid. 2.2 p. 449). Il faut cependant que le bailleur somme préalablement le locataire - comme cela a été fait en l'espèce - de mettre fin à la sous-location; l'exigence selon laquelle le maintien du bail doit être devenu insupportable n'a pas de portée propre ( ATF 134 III 300 consid. 3.1 p. 302 ss, 446 consid. 2.2 p. 449).</w:t>
      </w:r>
    </w:p>
    <w:p>
      <w:r>
        <w:t>Pour qu'une sous-location non autorisée puisse justifier une résiliation anticipée du bail en application de l' art. 257f al. 3 CO , il faut cependant que le bailleur ait été en droit de refuser son consentement (cf. art. 262 al. 2 CO ), faute de quoi sa réaction serait purement formaliste et ne reposerait sur aucun intérêt légitime (cf. ATF 134 III 300 consid. 3.1 in fine p. 304; 134 III 446 consid. 2.2 in fine p. 449).</w:t>
      </w:r>
    </w:p>
    <w:p>
      <w:r>
        <w:t>Les cas où le bailleur pourrait refuser son consentement sont énumérés à l' art. 262 al. 2 CO ; il faut encore ajouter le cas où le locataire abuse de son droit à la sous-location au sens de l' art. 2 CC ,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 ATF 134 III 446 consid. 2.4 p. 450 et les arrêts cités).</w:t>
      </w:r>
    </w:p>
    <w:p>
      <w:r>
        <w:t>En l'espèce, la recourante soutient que le locataire n'a pas vraiment l'intention de réintégrer les locaux, ce qui - à supposer qu'on la suive - conduit à admettre la validité du congé extraordinaire sur la base de l' art. 257f al. 3 CO .</w:t>
      </w:r>
    </w:p>
    <w:p>
      <w:r>
        <w:t>Le locataire qui quitte un logement peut souvent imaginer, en fonction de l'évolution future des événements, qu'il puisse avoir un jour un intérêt à revenir dans les locaux qu'il a abandonnés. Surtout en période de pénurie, on peut avoir un intérêt évident à garder un certain droit sur le logement. Si l'on tolère la sous-location simplement dans la perspective d'événements futurs incertains, on peut penser que de nombreux locataires ne voudront plus abandonner leur droit et on verra se multiplier la catégorie des sous-bailleurs qui, en lieu et place du propriétaire, déterminent l'occupant réel des locaux. On pourrait même imaginer des sous-locations en cascade, ce qui aboutirait à une possession quasiment féodale des biens immobiliers: l'occupant détenant son droit de son bailleur direct, lequel le détiendrait d'un autre bailleur de rang supérieur et ainsi de suite. En permettant la sous-location à l' art. 262 CO , le législateur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w:t>
      </w:r>
    </w:p>
    <w:p>
      <w:r>
        <w:rPr>
          <w:b/>
        </w:rPr>
        <w:t>E. 2.2</w:t>
      </w:r>
    </w:p>
    <w:p>
      <w:r>
        <w:t>Savoir si le locataire a l'intention de réintégrer à l'avenir les locaux loués est une question de fait, plus exactement il s'agit de déterminer un fait relevant du for intérieur en procédant à des déductions sur la base des circonstances et des déclarations (Bernard Corboz, in Commentaire de la LTF, n° 30 ad art. 105 LTF ).</w:t>
      </w:r>
    </w:p>
    <w:p>
      <w:r>
        <w:t>Le bailleur qui donne un congé extraordinaire doit prouver les faits qui en sont la condition. Lorsqu'il soutient - comme en l'espèce - que le locataire n'a pas l'intention de réintégrer les locaux et abuse en conséquence de son droit de sous-louer, il lui incombe d'apporter la preuve des faits qui permettent de parvenir à cette conviction ( art. 8 CC ). Cependant, s'il est parvenu à apporter des preuves très convaincantes, le locataire ne peut pas se désintéresser de l'administration des preuves et il doit s'efforcer de prouver les circonstances particulières qui pourraient ébranler la force probante des éléments apportés par le bailleur.</w:t>
      </w:r>
    </w:p>
    <w:p>
      <w:r>
        <w:t>De l' art. 8 CC - dont le Tribunal fédéral peut examiner d'office le respect ( art. 106 al. 1 LTF ) -, il a été déduit notamment une exigence de preuve, en ce sens que le juge ne peut pas retenir un fait qu'il juge pertinent en se fondant exclusivement sur l'allégué d'une partie, alors que cet allégué est contesté, que le fait n'est pas notoire et que son existence ne s'appuie sur aucun élément de preuve. Il y a violation de l' art. 8 CC si, dans un litige de droit privé fédéral, le juge admet sans aucune preuve un fait pertinent contesté ( ATF 130 III 591 consid. 5.4 p. 601 s.; 114 II 289 consid. 2a p. 290 s.; 105 II 141 consid. 6a/aa p. 145; Max Kummer, in Berner Kommentar, n° 84 ad art. 8 CC ; d'autres auteurs y voient un cas d'arbitraire: Henri Deschenaux, Der Einleitungstitel, in Schweizerisches Privatrecht II, Bâle 1967, p. 247 s. et les références citées).</w:t>
      </w:r>
    </w:p>
    <w:p>
      <w:r>
        <w:t>Il est manifeste en l'espèce que la cour cantonale a violé l' art. 8 CC , ce qui conduit à la constatation que son état de fait est dressé en violation du droit au sens de l' art. 95 LTF , de sorte que le Tribunal fédéral peut rectifier, même d'office, les constatations de l'autorité précédente ( art. 105 al. 2 LTF ).</w:t>
      </w:r>
    </w:p>
    <w:p>
      <w:r>
        <w:rPr>
          <w:b/>
        </w:rPr>
        <w:t>E. 2.3</w:t>
      </w:r>
    </w:p>
    <w:p>
      <w:r>
        <w:t>Il a été établi et il n'est pas contesté que l'intimé, qui est de nationalité française, a acheté une maison en France voisine, à la frontière genevoise. Il est également établi et non contesté qu'il s'y est installé pour y vivre avec son épouse, évacuant son précédent logement et annonçant son départ de Suisse aux autorités (pour toucher le capital de sa prévoyance professionnelle). Lorsque le litige a surgi, il a proposé à la bailleresse, par l'entremise d'un avocat, d'accepter une cession du bail, c'est-à-dire un transfert qui impliquerait qu'il n'ait plus aucun droit sur la chose louée. De l'ensemble de ces faits, non contestés et donc dûment établis, il se dégage une forte conviction que l'intimé a définitivement quitté l'appartement loué pour s'installer dans la maison dont il est devenu propriétaire. Selon l'expérience générale de la vie, le locataire qui acquiert un logement et s'y établit a l'intention de créer ainsi une situation durable. A cela s'ajoute que l'intimé, sommé par deux fois de réintégrer les locaux, n'a pas obtempéré, confirmant ainsi sa ferme intention de rester dans la maison qu'il a achetée en France voisine. Sur la base des preuves apportées, les juges de première instance ont déduit sans arbitraire que l'intimé n'avait pas l'intention de réintégrer les locaux loués et qu'il abusait donc de son droit à la sous-location.</w:t>
      </w:r>
    </w:p>
    <w:p>
      <w:r>
        <w:t>La cour cantonale est parvenue à une conviction inverse en se fondant sur deux faits, qu'il convient maintenant d'examiner.</w:t>
      </w:r>
    </w:p>
    <w:p>
      <w:r>
        <w:t>La cour cantonale a d'abord estimé que les sous-locataires étaient prêts à restituer l'appartement à l'intimé. La cour cantonale ne cite aucun moyen de preuve à l'appui de son affirmation. Elle ne prétend pas qu'il y ait un engagement écrit au dossier ou que les sous-locataires se soient exprimés dans ce sens comme témoins. En réalité, la cour cantonale a adopté purement et simplement un allégué de l'intimé, pourtant contesté par la recourante, sans que l'on discerne le moindre moyen de preuve qui permet de justifier sa conviction. Elle ne saurait d'ailleurs déduire sa conviction de l'expérience générale, puisque l'on ne voit pas très bien comment les sous-locataires pourraient renoncer à l'appartement, alors qu'il n'est pas établi qu'ils puissent disposer d'un autre logement; qu'ils soient disposés à effectuer un échange avec la maison de l'intimé n'est même pas allégué dans le cadre du recours et il n'y a aucune raison sérieuse de penser qu'ils soient prêts à s'établir en France. Ce premier point de fait a donc été retenu en violation de l'exigence d'une preuve, de sorte qu'il n'est pas possible d'en tenir compte.</w:t>
      </w:r>
    </w:p>
    <w:p>
      <w:r>
        <w:t>La cour cantonale a affirmé que l'état de santé de l'intimé pouvait justifier de se rapprocher de l'hôpital pour gagner quelques minutes en cas de transport en urgence. Sur ce point également, elle a suivi purement et simplement l'allégué de l'intimé, pourtant contesté par la recourante, sans citer aucun moyen de preuve à l'appui de sa conviction. Si l'état de santé de l'intimé est tel qu'il risque à tout moment une rupture d'anévrisme, on ne voit pas pourquoi il n'a pas donné suite à la sommation et n'a pas mis fin à la sous-location pour récupérer l'appartement loué; son refus montre soit que le risque a été exagéré, soit que la question de la durée du trajet n'est pas aussi déterminante à ses yeux. Si l'on imagine que c'est seulement dans le futur que le risque deviendrait concret, il faudrait alors avoir des indications sur la probabilité que cette évolution survienne. Or, la cour cantonale, dans son arrêt, ne s'appuie sur aucun avis médical. Certes, l'intimé, dans ses observations, se réfère à un certificat médical, mais on ne trouve pas trace de celui-ci dans l'arrêt cantonal; comme il n'est pas invoqué qu'un fait pertinent aurait été omis arbitrairement ( art. 106 al. 2 LTF ), il n'est pas possible de tenir compte d'un fait ou moyen de preuve nouveau ( art. 99 al. 1 LTF ) en ce sens qu'il n'a pas été retenu dans l'arrêt attaqué ( ATF 123 III 129 consid. 3b/aa p. 133). Même si la vraisemblance d'une telle évolution avait été établie, il faudrait encore s'interroger sur la durée du trajet. Sur ce point également, la cour cantonale ne fait état d'aucun moyen de preuve, notamment aucune donnée médicale. Si, comme l'admet la cour cantonale, chaque minute compte, il semblerait alors préférable que l'intimé loue un logement en ville de Genève pour se trouver réellement plus proche de l'hôpital cantonal. La cour cantonale n'a d'ailleurs même pas expliqué pourquoi elle pensait, à l'inverse des juges de première instance, qu'il était déterminant de se trouver à Thônex, plutôt qu'à St-Julien-en-Genevois (qui se trouve notoirement à la frontière genevoise); en tout cas, elle n'invoque l'avis d'aucun professionnel de la santé à l'appui de son affirmation. Sur ce point également, la cour cantonale a suivi sans aucune preuve l'allégué contesté de l'intimé, ce qui viole l' art. 8 CC et empêche de tenir compte d'un tel état de fait.</w:t>
      </w:r>
    </w:p>
    <w:p>
      <w:r>
        <w:t>En conclusion, les faits régulièrement établis permettent de se convaincre que l'intimé n'a pas l'intention de réintégrer les locaux loués, comme l'ont bien vu les juges de première instance. L'argumentation avancée par l'intimé pour ébranler cette conviction repose sur des faits qui n'ont pas été établis.</w:t>
      </w:r>
    </w:p>
    <w:p>
      <w:r>
        <w:t>Le recours doit donc être admis et la validité du congé reconnue. Il n'y a pas lieu d'accorder une prolongation du bail ( art. 274f al. 3 CO ), faute de conséquences pénibles de la résiliation, l'intimé ayant un logement en France voisine.</w:t>
      </w:r>
    </w:p>
    <w:p>
      <w:r>
        <w:rPr>
          <w:b/>
        </w:rPr>
        <w:t>E. 3</w:t>
      </w:r>
    </w:p>
    <w:p>
      <w:r>
        <w:t>Les frais judiciaires et les dépens sont mis à la charge de la partie qui succombe (art. 66 al. 1 et 68 al. 1 et 2 LTF).</w:t>
      </w:r>
    </w:p>
    <w:p>
      <w:r>
        <w:t>La solution étant inversée, les frais de la procédure cantonale sont mis à la charge de l'intimé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