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366/2018 vom 12. Juli 2018</w:t>
      </w:r>
    </w:p>
    <w:p>
      <w:r>
        <w:t>Bundesgericht, 2018-07-12, FR</w:t>
      </w:r>
    </w:p>
    <w:p>
      <w:r>
        <w:rPr>
          <w:b/>
        </w:rPr>
        <w:t xml:space="preserve">Quelle: </w:t>
      </w:r>
      <w:r>
        <w:t>https://mcp.opencaselaw.ch/entscheid/bger_4A_366_2018</w:t>
      </w:r>
    </w:p>
    <w:p>
      <w:r>
        <w:t>FR: TF 4A 366/2018 du 12 juillet 2018</w:t>
      </w:r>
    </w:p>
    <w:p>
      <w:r>
        <w:t>IT: TF 4A 366/2018 del 12 luglio 2018</w:t>
      </w:r>
    </w:p>
    <w:p>
      <w:pPr>
        <w:pStyle w:val="Heading2"/>
      </w:pPr>
      <w:r>
        <w:t>Regeste</w:t>
      </w:r>
    </w:p>
    <w:p>
      <w:r>
        <w:t>amende d'ordre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des recours.</w:t>
      </w:r>
    </w:p>
    <w:p>
      <w:r>
        <w:rPr>
          <w:b/>
        </w:rPr>
        <w:t>E. 2</w:t>
      </w:r>
    </w:p>
    <w:p>
      <w:r>
        <w:t>La cause 4A_366/2018 est rayée du rôle.</w:t>
      </w:r>
    </w:p>
    <w:p>
      <w:r>
        <w:rPr>
          <w:b/>
        </w:rPr>
        <w:t>E. 3</w:t>
      </w:r>
    </w:p>
    <w:p>
      <w:r>
        <w:t>Un émolument judiciaire de 300 fr. est mis à la charge du recourant.</w:t>
      </w:r>
    </w:p>
    <w:p>
      <w:r>
        <w:rPr>
          <w:b/>
        </w:rPr>
        <w:t>E. 4</w:t>
      </w:r>
    </w:p>
    <w:p>
      <w:r>
        <w:t>La présente ordonnance est communiquée au conseil du recourant et à la Cour de justice du canton de Genève. Lausanne, le 12 juillet 2018 Au nom de la Ire Cour de droit civil du Tribunal fédéral suisse La présidente: Kiss La greffière: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