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365/2014 vom 5. Januar 2015</w:t>
      </w:r>
    </w:p>
    <w:p>
      <w:r>
        <w:t>Bundesgericht, 2015-01-05, DE</w:t>
      </w:r>
    </w:p>
    <w:p>
      <w:r>
        <w:rPr>
          <w:b/>
        </w:rPr>
        <w:t xml:space="preserve">Quelle: </w:t>
      </w:r>
      <w:r>
        <w:t>https://mcp.opencaselaw.ch/entscheid/bger_4A_365_2014</w:t>
      </w:r>
    </w:p>
    <w:p>
      <w:r>
        <w:t>FR: TF 4A 365/2014 du 5 janvier 2015</w:t>
      </w:r>
    </w:p>
    <w:p>
      <w:r>
        <w:t>IT: TF 4A 365/2014 del 5 gennaio 2015</w:t>
      </w:r>
    </w:p>
    <w:p>
      <w:pPr>
        <w:pStyle w:val="Heading2"/>
      </w:pPr>
      <w:r>
        <w:t>Regeste</w:t>
      </w:r>
    </w:p>
    <w:p>
      <w:r>
        <w:t>Haftplichtrecht; Produktehaftpflicht | Haftpflichtrecht</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unter den gegebenen Umständen, die beiden Beschwerdeverfahren 4A_365/2014 und 4A_371/2014 zu vereinigen.</w:t>
      </w:r>
    </w:p>
    <w:p>
      <w:r>
        <w:rPr>
          <w:b/>
        </w:rPr>
        <w:t>E. 2</w:t>
      </w:r>
    </w:p>
    <w:p>
      <w:r>
        <w:t>Das Urteil des Obergerichts des Kantons Zürich vom 7. Mai 2014 ist ein verfahrensabschliessender Rechtsmittelentscheid ( Art. 90 BGG ) einer letzten kantonalen Instanz im Sinne von Art. 75 Abs. 1 und 2 BGG . Der Streitwert übersteigt die Grenze nach Art. 74 Abs. 1 lit. b BGG . Da auch die übrigen Sachurteilsvoraussetzungen erfüllt sind, ist - unter Vorbehalt einer hinlänglichen Begründung ( Art. 42 Abs. 2 und Art. 106 Abs. 2 BGG ) - grundsätzlich auf die Beschwerden einzutreten.</w:t>
      </w:r>
    </w:p>
    <w:p>
      <w:r>
        <w:rPr>
          <w:b/>
        </w:rPr>
        <w:t>E. 3.1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w:t>
      </w:r>
    </w:p>
    <w:p>
      <w:r>
        <w:rPr>
          <w:b/>
        </w:rPr>
        <w:t>E. 3.2</w:t>
      </w:r>
    </w:p>
    <w:p>
      <w:r>
        <w:t>Das Bundesgericht legt seinem Urteil den Sachverhalt zugrunde, den die Vorinstanz festgestellt hat ( Art. 105 Abs. 1 BGG ). Dazu gehören sowohl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Soweit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Überdies hat sie darzutun, inwiefern die Behebung des gerügten Mangels für den Ausgang des Verfahrens entscheidend sein kann ( Art. 97 Abs. 1 BGG ; BGE 135 I 19 E. 2.2.2). Neue Tatsachen und Beweismittel dürfen nur soweit vorgebracht werden, als der Entscheid der Vorinstanz dazu Anlass gibt ( Art. 99 Abs. 1 BGG ), was in der Beschwerde näher darzulegen ist ( BGE 133 III 393 E. 3 S. 395). Auf eine Kritik an den tatsächlichen Feststellungen der Vorinstanz, die diesen Anforderungen nicht genügt, ist nicht einzutreten ( BGE 140 III 16 E. 1.3.1 S. 18; 133 II 249 E. 1.4.3).</w:t>
      </w:r>
    </w:p>
    <w:p>
      <w:r>
        <w:rPr>
          <w:b/>
        </w:rPr>
        <w:t>E. 4</w:t>
      </w:r>
    </w:p>
    <w:p>
      <w:r>
        <w:t>Bei "Yasmin" handelt es sich um ein Arzneimittel zur hormonalen Empfängnisverhütung. Es gehört damit zu den Produkten "chemischen oder biologischen Ursprungs, die zur medizinischen Einwirkung auf den menschlichen oder tierischen Organismus bestimmt oder angepriesen werden" im Sinne von Art. 4 Abs. 1 lit. a des Bundesgesetzes vom 15. Dezember 2000 über Arzneimittel und Medizinprodukte (SR 812.21; HMG). Als solches benötigt es eine Bewilligung des Schweizerischen Heilmittelinstituts (Swissmedic), um in den Verkehr gebracht zu werden ( Art. 9 Abs. 1 HMG ). Diese wird erteilt, wenn die Herstellerin das Produkt zuvor u.a. klinisch auf seine therapeutische Wirkung und die Sicherheit bzw. ein positives Nutzen-Risikoverhältnis getestet hat ( Art. 53 HMG ; Art. 5 der Verordnung des Schweizerischen Heilmittelinstituts vom 9. November 2001 über die Anforderungen an die Zulassung von Arzneimitteln [SR 812.212.22; AMZV] ). Es ist unbestritten, dass "Yasmin" in diesem Sinn zugelassen war und nach wie vor ist. Die Heilmittelgesetzgebung regelt sodann die Arzneimittelinformation. Unter diesem Titel unterscheidet sie zwischen der sog. Fachinformation und der Patienteninformation . Die Fachinformation richtet sich an Personen, die berechtigt sind, Arzneimittel zu verschreiben oder abzugeben ( Art. 13 AMZV ). Die Anforderungen an sie sind im Anhang 4 zur AMZV geregelt. Die Patienteninformation richtet sich an die zur Verschreibung und Abgabe berechtigten Personen sowie an diejenigen, die das Arzneimittel anwenden ( Art. 14 AMZV ). Auch die Anforderungen an die Patienteninformation sind spezifisch geregelt (Anhang 5 zur AMZV). Eine vollständige Formulierung sämtlicher Texte in Übereinstimmung mit diesen Vorgaben ist mit dem Zulassungsgesuch einzureichen und bedarf der Genehmigung ( Art. 11 Abs. 1 lit. f HMG ; Mosimann/Schott, in: Basler Kommentar Heilmittelgesetz, 2006, N. 30f zu Art. 11 HMG ; Philipp Straub, Die Produktehaftpflicht im Heilmittelbereich - rechtsvergleichende Betrachtungen, in: Das neue Heilmittelgesetz, 2004, S. 157 ff., S. 161). Die Zulassungsinhaberin ist sodann verpflichtet, die Arzneimittelinformation der Entwicklung von Wissenschaft und Technik anzupassen ( Art. 16 der Verordnung vom 17. Oktober 2001 über die Arzneimittel [SR 812.212.21; VAM] ). Die für den vorliegenden Fall massgebliche Patienteninformation des Jahres 2007 enthielt u.a. folgende Angaben: " Beeinflussung der Blutgerinnung, Risiko für Gefässerkrankungen Bei Frauen, die hormonale Empfängnisverhütungsmittel - einschliesslich Yasmin - anwenden, besteht ein leicht erhöhtes Risiko für Gerinnselbildung in Venen und Arterien (venöse und arterielle thromboembolische Krankheiten), welche zu teilweise schweren Gesundheitsschäden führen kann. Das Risiko für Gerinnselbildung ist am Höchsten während dem ersten Anwendungsjahr. Eine Gerinnselbildung kann in Venen zu tiefen Venenthrombosen (Venenentzündung) oder Lungenembolie, in Arterien zu Schlaganfall oder Herzinfarkt führen. Das Risiko für solche Thrombosen oder Embolien besteht bei der Einnahme aller hormonalen Empfängnisverhütungsmittel, es ist jedoch geringer als während einer Schwangerschaft. (...) Wann sollten Sie die Einnahme von Yasmin abbrechen und ihren Arzt bzw. Ihre Ärztin aufsuchen? Wenn einer der folgenden Punkte zutrifft: (...) einseitige Beinschmerzen und/oder Schwellung in einem Bein; plötzliche Atembeschwerden oder plötzliches Auftreten von Husten unklarer Ursache; plötzlicher starker Schmerz im Brustkorb mit oder auch ohne Ausstrahlung in den linken Arm; (...) Welche Nebenwirkungen kann Yasmin haben? (...) Selten bis sehr selten arterielle und venöse thromboembolische Erkrankungen (z.B. Venenthrombose, Lungenembolie, Schlaganfall, Herzinfarkt) ... ." Die für den vorliegenden Fall massgebliche Fachinformation für Ärzte enthielt u.a. folgende Angaben: " Jugendliche Die Wirksamkeit und Sicherheit von Yasmin wurde an Frauen ab einem Alter ab 18 Jahren untersucht. Für Jugendliche wird, falls indiziert, die gleiche Dosierung wie bei Erwachsenen empfohlen. (...) Warnhinweise und Vorsichtsmassnahmen Der Nutzen einer Anwendung eines OC sollte gegen die nachfolgend aufgeführten Erkrankungen/Risiken (...) abgewogen und mit jeder Patientin besprochen werden, bevor man sich zur Anwendung eines oralen Kontrazeptivums entschliesst (siehe auch "Kontraindikationen"). (...) Vor Beginn der Einnahme eines OC wie Yasmin soll eine sorgfältige Eigen- und Familienanamnese erhoben, sowie eine gründliche allgemeine und gynäkologische Untersuchung durchgeführt werden, um (...) Risikozustände feststellen (...) zu können (...) [es folgt eine nähere Beschreibung der nötigen Untersuchungen] (...) Der Arzt soll die Patientin auf die ersten Anzeichen der unten aufgeführten Erkrankungen aufmerksam machen. Bei Auftreten entsprechender Symptome oder Verdacht auf eine dieser Erkrankungen sollte das Präparat gegebenenfalls abgesetzt und alternative Verhütungsmethoden mit der Patientin besprochen werden. (...) Vaskuläre Risikofaktoren und Komplikationen Bei Frauen, die hormonelle Kontrazeptiva - einschliesslich Yasmin - anwenden, besteht ein leicht erhöhtes Risiko venöser und arterieller thromboembolischer Krankheiten, wie Myokardinfarkt, Apoplexie, tiefe Beinvenenthrombose, Lungenembolie und Subarachnoidalblutungen. Venöse Thromboembolien (VTE) können während der Anwendung aller COC auftreten. Das Risiko für venöse Thromboembolien ist während dem ersten Anwendungsjahr eines COC am Höchsten. Die ungefähre VTE-Inzidenz liegt bei OC mit niedriger Östrogendosis (&lt;0,05 mg Ethinylestradiol) bei bis zu 4 Fällen pro 10'000 Frauenjahre verglichen mit etwa 2 Fällen pro 10'000 Frauenjahre bei Nichtanwenderinnen. Die Inzidenz einer VTE unter Einnahme von COC ist jedoch bedeutend niedriger als bei einer Schwangerschaft (6 Fälle pro 10'000 Frauenjahre). Bei einem Teil der zahlreichen epidemiologischen Studien für Thrombose/Emboliehäufigkeit unter oralen Kontrazeptiva bei gesunden Frauen ohne bekannte Risikofaktoren für Thromboseentstehung wurde ein ca. 2-fach erhöhtes Risiko für ein thromboembolisches Ereignis unter den Kombinationspräparaten mit Gestoden bzw. Desogestrel (sogenannte 3. Generations-OC) im Vergleich zu den sogenannten 2. Generations-OC mit Levonorgestrel bei gleichem Ethinylestradiolgehalt beobachtet. Nicht alle Studien konnten das erhöhte Risiko bestätigen. Prospektive, kontrollierte, randomisierte Studien zu dieser Problematik liegen nicht vor. Die zurzeit verfügbaren klinischen Daten zu Yasmin erlauben keine klare Zuteilung hinsichtlich des VTE-Risikos zur 2. oder 3. OC-Generation. (...) Unerwünschte Wirkungen Die folgenden unerwünschten Wirkungen werden unter Yasmin beobachtet: (...) Herz, Gefässe Selten: Blutdruckanstieg Sehr selten: arterielle und venöse thromboembolische Erkrankungen (z.B. Venenthrombose, Lungenembolie, zerebrovaskulärer Insult, Herzinfarkt)."</w:t>
      </w:r>
    </w:p>
    <w:p>
      <w:r>
        <w:rPr>
          <w:b/>
        </w:rPr>
        <w:t>E. 5</w:t>
      </w:r>
    </w:p>
    <w:p>
      <w:r>
        <w:t>Die Klägerin begründet ihren Anspruch mit der Fehlerhaftigkeit von "Yasmin" gemäss dem Bundesgesetz vom 18. Juni 1993 über die Produktehaftpflicht (SR 221.112.944; PrHG). Die Vorinstanz führte aus, nach Auffassung der Klägerin sei "Yasmin" ein fehlerhaftes Produkt, weil sie ein höheres VTE-Risiko als KOK der zweiten Generation aufweise und die Beklagte über dieses erhöhte Risiko bei dessen Inverkehrsetzung nicht genügend informiert habe. Der Vorwurf der ungenügenden Information beziehe sich dabei auf die Relation unter den verschiedenen KOK. Gemäss dem angefochtenen Entscheid sind die Ärzte der massgebliche Adressatenkreis. "Yasmin" sei ein verschreibungspflichtiges Medikament und nur nach einer Arztkonsultation und aufgrund einer Beratung und Untersuchung durch einen fachkundigen Arzt erhältlich. Der Arzt müsse in Kenntnis aller auf dem Markt verfügbaren Präparate mit gleicher Indikation und Kenntnis ihrer positiven wie ihrer negativen Wirkungen entscheiden. Die Sicherheitserwartung an ein verschreibungspflichtiges Arzneimittel richte sich daher nach jener des verschreibenden Arztes und nicht nach jener der Konsumentin. Entsprechend stellte die Vorinstanz auf die Fachinformation für den Arzt ab. Darin werde das VTE-Risiko von "Yasmin" ausdrücklich beschrieben und auch ein Risikovergleich mit Pillen der zweiten und dritten Generation aufgeführt. Der Arzt habe daher davon ausgehen müssen, dass "Yasmin" auch zur Gruppe der KOK der dritten Generation mit einem bis zu 2-fach erhöhten VTE-Risiko gehören könne. Ebenso sei der Arzt darauf hingewiesen worden, dass es unterschiedliche Studienresultate zum VTE-Risiko gebe und eine zuverlässige Studie fehle. Ausserdem weise die Fachinformation für Ärzte auf das erhöhte Risiko im ersten Anwendungsjahr hin und die Folgen eines VTE-Ereignisses würden näher erläutert. Spätere Fachinformationen hätten diese Risikohinweise lediglich präzisiert und bestätigt. Die Publikumswerbung oder andere Absatzförderungsmassnahmen hätten beim spezialisierten Arzt keine sicherheitsrelevanten Vorstellungen hervorrufen können und seien daher nicht entscheidend. Ein Produktfehler - so die Vorinstanz weiter - liege demnach vor, wenn im massgeblichen Zeitpunkt der Inverkehrsetzung (August 2007) das tatsächliche VTE-Risiko höher war als in der Fachinformation 2004 beschrieben, wo von einem Risiko zwischen jenem der Pillen der zweiten Generation und dem rund doppelt so hohen der dritten Generation ausgegangen werde. Aufgrund der Würdigung zahlreicher internationaler Studien, sowohl solcher vor August 2007 erstellter wie späterer, sowie weiterer Publikationen kam die Vorinstanz zum Schluss, es ergebe sich kein Beweis "eines mehr als 2-fachen VTE-Risikos von Yasmin gegenüber 2. Generationspillen". Nach einzelnen Studien bestehe zwar für das erste Anwendungsjahr eine Risikorelation von mehr als einer Verdoppelung, doch weise die Fachinformation ausdrücklich auf den Umstand hin, dass das VTE-Risiko im ersten Jahr höher sei. Es bestehe daher kein Produktemangel.</w:t>
      </w:r>
    </w:p>
    <w:p>
      <w:r>
        <w:rPr>
          <w:b/>
        </w:rPr>
        <w:t>E. 6</w:t>
      </w:r>
    </w:p>
    <w:p>
      <w:r>
        <w:t>Vorerst ist umstritten, von welchem VTE-Risiko im Vergleich zu Verhütungspillen der zweiten Generation in tatsächlicher Hinsicht auszugehen ist. Nach den Feststellungen der Vorinstanz hatte die Beschwerdegegnerin im kantonalen Verfahren geltend gemacht, breit angelegte und zuverlässige Studien würden kein erhöhtes VTE-Risiko belegen. Auch im Beschwerdeverfahren bestreitet sie, dass ein erhöhtes Risiko tatsächlich bestand. Strittig ist insbesondere, inwiefern die Vorinstanz zu diesem Punkt bereits verbindliche Feststellungen (vgl. vorne E. 3.2) getroffen hat. Die Beschwerdeführerinnen machen geltend, die Vorinstanz habe ein bis zu zweimal höheres Thromboserisiko als bei anderen oralen Kontrazeptiva festgestellt. Die Beschwerdegegnerin ist demgegenüber der Auffassung, die Vorinstanz habe vielmehr verbindlich festgestellt, es sei kein erhöhtes VTE-Risiko bewiesen, da sich die Resultate der Studien widersprechen. Sie beruft sich auf folgende Ausführungen im angefochtenen Urteil: -- ..] Angesichts dieser unterschiedlichen Ergebnisse der zitierten Studien kann daher der Beweis eines mehr als 2-fachen VTE-Risikos von Yasmin gegenüber 2. Generationspillen als nicht erbracht gelten (vgl. auch die Feststellung der FDA Urk. 72/62). [...] Das zivilprozessuale Beweismass ist nicht deckungsgleich mit den medizinischen Empfehlungen, welche grundsätzlich von einem Vorsichtsszenario ausgehen. Eine überwiegende Wahrscheinlichkeit im zivilprozessualen Sinne ist bei diesen unterschiedlichen Studienergebnissen für kein Resultat gegeben . V.a. die grossen Studien, die auf grossen statistischen Zahlen beruhen (EURAS, Lidegaard, Ouellet-Hellstrom, Gronich) kommen auf einen tieferen Faktor als Faktor 2. Die zwei Studien, die einen höheren Faktor angeben (Jick, Parkin), beruhen auf einem vergleichsweise kleineren Zahlenmaterial und erscheinen daher von der Repräsentativtät der Ergebnisse her als eher weniger gut abgestützt". (Hervorhebung durch die Beschwerdegegnerin) Unbestritten ist, dass die Vorinstanz einen Faktor über zwei als nicht bewiesen erachtete. Die zitierten Ausführungen sind im Übrigen aber nicht klar. Die von der Beschwerdegegnerin hervorgehobene Formulierung könnte in der Tat so verstanden werden, dass die Vorinstanz keine Studie als beweismässig überzeugend qualifizierte. Andererseits war für die Vorinstanz angesichts ihrer rechtlichen Überlegungen das Beweisthema beschränkt auf die Frage, ob die Beschwerdeführerinnen einen Faktor über zwei nachweisen können. Aus Sicht der Vorinstanz bestand daher kein Anlass, sich zu einem Beweisergebnis betreffend einen Faktor zwischen eins und zwei zu äussern. Das würde aber bedeuten, dass die Vorinstanz in tatsächlicher Hinsicht weder (im Sinn der Beschwerdegegnerin) ein gegenüber KOK der zweiten Generation erhöhten VTE-Wert als nicht bewiesen ausschloss, noch (im Sinn der Beschwerdeführerinnen) einen erhöhten VTE-Wert zwischen Faktor eins und zwei als bewiesen erachtete. Andererseits könnte die Formulierung am Schluss der zitierten Ausführungen auch so verstanden werden, dass die Vorinstanz die fehlende Überzeugungskraft der Studien nur auf jene bezieht, die Werte über zwei auswiesen. Ob das eine oder andere zutrifft, muss hier nicht entschieden werden, da die rechtliche Argumentation der Vorinstanz im Folgenden geschützt wird.</w:t>
      </w:r>
    </w:p>
    <w:p>
      <w:r>
        <w:rPr>
          <w:b/>
        </w:rPr>
        <w:t>E. 7</w:t>
      </w:r>
    </w:p>
    <w:p>
      <w:r>
        <w:t>Das PrHG basiert weitgehend auf der Richtlinie 85/374/EWG des Rats vom 25. Juni 1985 zur Angleichung der Rechts- und Verwaltungsvorschriften der Mitgliedstaaten über die Haftung fehlerhafter Produkte, ABl L 210 vom 7. August 1985. Die schweizerischen Gerichte sind zwar nicht verpflichtet, der europäischen Rechtsprechung im Bereich der Produktehaftung Rechnung zu tragen. Anderseits ist der vom Gesetzgeber beabsichtigte autonome Nachvollzug des europäischen Rechts zu berücksichtigen und zu vermeiden, dass die angestrebte Harmonisierung ohne triftigen Grund vereitelt wird ( BGE 137 III 226 E. 2.2 S. 229). Es erscheint daher auch sachgerecht, rechtsvergleichend Rechtsprechung zu berücksichtigen, die gestützt auf nationale Umsetzungsgesetzgebung zur Richtlinie 85/374/EWG ergangen ist. Gemäss Art. 4 Abs. 1 PrHG ist ein Produkt fehlerhaft, wenn es nicht die Sicherheit bietet, die man unter Berücksichtigung aller Umstände zu erwarten berechtigt ist. Diese Definition wurde praktisch wörtlich von Art. 6 Abs. 1 der Richtlinie 85/374/EWG übernommen. Wie aus den einführenden Erwägungen dieser Richtlinie hervorgeht, zielt die Produktehaftpflicht darauf ab, "den Konsumenten davor zu schützen, dass fehlerhafte Produkte seine Gesundheit oder sein Eigentum schädigen" (Erwägung 1). Das Pronomen "man", welches in Art. 4 PrHG verwendet wird, verweist auf die Sicherheitserwartung des Durchschnittskonsumenten und nicht auf die Sicherheitserwartungen des Geschädigten oder einer Gruppe von besonders qualifizierten oder unqualifizierten Verwendern ( BGE 137 III 226 E. 3.2 S. 232; 133 III 81 E. 3.1 S. 83 f.; je mit Hinweisen). Die Lehre unterteilt die Fehler im Allgemeinen nach ihrer Ursache in Fabrikationsfehler, Konstruktionsfehler und Instruktionsfehler. Das PrHG unterscheidet nicht nach der Ursache der Fehler. Dies bedeutet, dass diesen Kategorien keine normative Bedeutung zukommt. Dennoch sind diese Unterscheidungen von Nutzen, denn sie erlauben dem Gericht, den Sachverhalt besser zu erfassen. Ein Instruktionsfehler betrifft Produkte, die nicht mit einer geeigneten Information hinsichtlich der gegenüber dem Konsumenten bestehenden Risiken versehen sind ( BGE 133 III 81 E. 3.2 S. 85 f. mit Hinweisen).</w:t>
      </w:r>
    </w:p>
    <w:p>
      <w:r>
        <w:rPr>
          <w:b/>
        </w:rPr>
        <w:t>E. 8</w:t>
      </w:r>
    </w:p>
    <w:p>
      <w:r>
        <w:t>Die Einhaltung behördlicher Vorschriften schliesst einen Produktfehler nicht zum vornherein aus. Sie genügt daher für den Nachweis der Fehlerfreiheit eines Produkts nicht. Die Zulassung bzw. die Genehmigung der Produktinformation bestätigt lediglich, dass die öffentlich-rechtlichen Anforderungen eingehalten sind ( WALTER FELLMANN, in: Basler Kommentar, 5. Aufl., 2011, N. 27 zu Art. 4 PrHG ; HANS-JOACHIM HESS, Kommentar zum Produktehaftpflichtgesetz [PrHG], 2. Aufl., 1996, N. 110 zu Art. 4 PrHG ; DANIEL VOGEL, Die Produkthaftung des Arzneimittelherstellers nach schweizerischem und deutschem Recht, Diss. Zürich 1991, S. 24 [auf der Grundlage von Art. 41 OR ]). Immerhin ist die Einhaltung der behördlichen Vorschriften ein Indiz dafür, dass das Produkt die Sicherheit bot, welche die Allgemeinheit erwarten durfte und auch dafür, dass im Hinblick auf diese Sicherheitserwartungen ausreichend informiert wurde (so auch VOGEL, a.a.O., S. 65f.; weitergehend: HESS, a.a.O., N. 112 zu Art. 4 PrHG , der in diesem Zusammenhang sogar von einer "Vermutung" spricht).</w:t>
      </w:r>
    </w:p>
    <w:p>
      <w:r>
        <w:rPr>
          <w:b/>
        </w:rPr>
        <w:t>E. 9</w:t>
      </w:r>
    </w:p>
    <w:p>
      <w:r>
        <w:t>Die Beschwerdeführerinnen machen geltend, die Angaben in der Patienteninformation seien mangelhaft gewesen. Anders als in der Fachinformation an die Ärzte, wo dargelegt worden sei, dass allenfalls von einem doppelt so hohen Risiko für ein thromboembolisches Ereignis auszugehen sei wie bei den bisher bekannten Pillen der zweiten Generation, habe in der Patienteninformation ein solcher Vergleich gefehlt. Ein solcher Vergleich wäre aber umso notwendiger gewesen, als "Yasmin" wie jede andere Pille verhüte, diesbezüglich also keinen Zusatznutzen verschaffe, und der zusätzliche Nutzen einzig in den positiven Nebenwirkungen (positiver Einfluss auf menstruelle Beschwerden, keine Gewichtszunahme, Verhinderung der Akne) bestehe. Bestehe kein zusätzlicher Heilnutzen, müsse die Aufklärung umso eingehender sein. Die Auffassung der Vorinstanz, dass der massgebliche Adressat die Ärzteschaft sei und daher auf die an diese gerichtete Fachinformation abzustellen sei, verletze Bundesrecht.</w:t>
      </w:r>
    </w:p>
    <w:p>
      <w:r>
        <w:rPr>
          <w:b/>
        </w:rPr>
        <w:t>E. 9.1</w:t>
      </w:r>
    </w:p>
    <w:p>
      <w:r>
        <w:t>Ein Produkt verliert nicht deshalb seine Produktqualität im Sinn von Art. 3 PrHG , weil es im Rahmen einer Dienstleistung - wie beispielsweise einer Arztkonsultation - gebraucht oder weitergegeben wird ( BGE 137 III 226 E. 2 a.E.; FRANZ WERRO, La responsabilité civile, 2e éd., 2011, Rz. 573). Indessen stellt sich in solchen Fällen die Frage, ob die "berechtigten Sicherheitserwartungen" des durchschnittlichen Arztes oder jene des durchschnittlichen Patienten massgebend sind.</w:t>
      </w:r>
    </w:p>
    <w:p>
      <w:r>
        <w:rPr>
          <w:b/>
        </w:rPr>
        <w:t>E. 9.2</w:t>
      </w:r>
    </w:p>
    <w:p>
      <w:r>
        <w:t>In der Lehre ist anerkannt, dass der Hersteller von Produkten, die nur für Fachleute bestimmt sind, auf die Verkehrsauffassung dieses begrenzten Benutzerkreises abstellen und darauf zählen darf, dass die Benutzer die mit dem Produkt typischerweise verbundenen Gefahren kennen ( FELLMANN, a.a.O., N. 3a zu Art. 4 PrHG ; FELLMANN/KOTTMANN, Schweizerisches Haftpflichtrecht, 2012, N. 1143). Ähnliche Überlegungen müssen bei rezeptpflichtigen Medizinalprodukten gelten: Es kann hier nicht allein auf die individuellen Sicherheitserwartungen des Patienten ankommen, da diesem in der Regel das nötige Fachwissen fehlt, um die mit rezeptpflichtigen Medikamenten verbundenen Gefahren richtig einschätzen zu können. Für die Beurteilung, ob die Sicherheitserwartungen des Patienten in Bezug auf rezeptpflichtige Medikamente berechtigt sind, ist daher auch das Wissen des Arztes einzubeziehen, der dem Patienten das Medikament verschreibt. Bei rezeptpflichtigen Medikamenten hat der Arzt die Chancen und Risiken der verschiedenen auf dem Markt erhältlichen Produkte im Hinblick auf die konkrete Anwendung abzuwägen und diese mit seinem Patienten zu diskutieren. Im vorliegenden Fall sieht die Fachinformation unter dem Titel "Warnhinweise und Sicherheitsmassnahmen" denn auch vor, dass der verschreibende Arzt den Nutzen einer Anwendung gegen die Risiken abwägen und mit jeder Patientin besprechen soll. Wenn die Beschwerdeführerinnen dagegen einwenden, dass die Rezeptpflicht gerade für Verhütungsmittel nicht ernst genommen werde, so überzeugt dies nicht. Denn wenn dies zutreffen sollte, wäre die Rezeptpflicht sinn- und zwecklos. Es ist daher nicht zu beanstanden, wenn im vorliegenden Fall nur die Fachinformation den Hinweis enthielt, dass allenfalls von einem doppelt so hohen Risiko für ein thromboembolisches Ereignis auszugehen sei wie bei den bisher bekannten Pillen der zweiten Generation, während in der Patienteninformation ein solcher Vergleich fehlte. Dies umso mehr, als im Anhang 5 der AMZW keine entsprechende Pflicht statuiert ist, solche vergleichende Angaben in die Patienteninformation aufzunehmen, und im Übrigen auch in der Patienteninformation selbst deutlich auf die Möglichkeit einer Gerinnselbildung und die damit verbundene Gefahr von Thrombosen und Embolien hingewiesen wird.</w:t>
      </w:r>
    </w:p>
    <w:p>
      <w:r>
        <w:rPr>
          <w:b/>
        </w:rPr>
        <w:t>E. 10</w:t>
      </w:r>
    </w:p>
    <w:p>
      <w:r>
        <w:t>Hinsichtlich einer möglichen Haftung gestützt auf Art. 41 ff. OR hat die Vorinstanz verschiedene behauptete Sorgfaltspflichtverletzungen geprüft. Im Beschwerdeverfahren rügen die Nebenintervenientinnen unter dem Titel der allgemeinen zivilrechtlichen Sorgfaltspflichten indessen nur noch die mangelhafte vergleichende Information wie bereits hinsichtlich von Art. 4 PrHG . Soweit die Klägerin sodann auch aus einem Verstoss gegen das Werbeverbot für Heilmittel einen Anspruch ableiten will, so trägt sie hierfür keine hinreichend begründeten Rügen vor. Auf die übrigen von der Vorinstanz beurteilten Aspekte braucht somit nicht eingegangen zu werden.</w:t>
      </w:r>
    </w:p>
    <w:p>
      <w:r>
        <w:rPr>
          <w:b/>
        </w:rPr>
        <w:t>E. 11</w:t>
      </w:r>
    </w:p>
    <w:p>
      <w:r>
        <w:t>Die Beschwerden sind damit abzuweisen. Das Gesuch der Klägerin um Gewährung der unentgeltlichen Rechtspflege im bundesgerichtlichen Beschwerdeverfahren ist wegen Aussichtslosigkeit der Beschwerde abzuweisen ( Art. 64 BGG ). Da dem Bundesgericht für die Behandlung der Beschwerde der Klägerin nur ein geringer Aufwand entstanden ist, wird auf die Erhebung von Gerichtskosten ausnahmsweise verzichtet (Art. 66 Abs. 1 zweiter Satz BGG). Die Klägerin wird gegenüber der Beschwerdegegnerin auch nicht entschädigungspflichtig, da dieser mangels Einholung einer Vernehmlassung im Verfahren 4A_371/2014 kein Aufwand entstanden ist. Demgegenüber werden die Nebenintervenientinnen dem Ausgang des Verfahrens 4A_365/2014 entsprechend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