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362/2020 vom 22. Januar 2021</w:t>
      </w:r>
    </w:p>
    <w:p>
      <w:r>
        <w:t>Bundesgericht, 2021-01-22, FR</w:t>
      </w:r>
    </w:p>
    <w:p>
      <w:r>
        <w:rPr>
          <w:b/>
        </w:rPr>
        <w:t xml:space="preserve">Quelle: </w:t>
      </w:r>
      <w:r>
        <w:t>https://mcp.opencaselaw.ch/entscheid/bger_4A_362_2020</w:t>
      </w:r>
    </w:p>
    <w:p>
      <w:r>
        <w:t>FR: TF 4A 362/2020 du 22 janvier 2021</w:t>
      </w:r>
    </w:p>
    <w:p>
      <w:r>
        <w:t>IT: TF 4A 362/2020 del 22 gennaio 2021</w:t>
      </w:r>
    </w:p>
    <w:p>
      <w:pPr>
        <w:pStyle w:val="Heading2"/>
      </w:pPr>
      <w:r>
        <w:t>Regeste</w:t>
      </w:r>
    </w:p>
    <w:p>
      <w:r>
        <w:t>responsabilité civile; prescription | Assurance responsabilité civile</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Le litige porte sur la prescription de la créance en responsabilité civile des demandeurs contre le défendeur. La question de savoir si cette prescription était échue au moment où les demandeurs ont procédé au premier acte interruptif s'examine selon l' art. 60 al. 1 CO , dans sa teneur en vigueur jusqu'au 1er janvier 2020 ( art. 49 al. 1 Tit. fin. CC ), ce que nul ne remet en cause. Selon cette disposition légale, la prescription relative est d'un an à compter du jour où la partie lésée a eu connaissance du dommage ainsi que de la personne qui en est l'auteur. La cour cantonale a raisonné en deux étapes. En premier lieu, elle a considéré que le dies a quo de la prescription remontait au 14 janvier 2014, c'est-à-dire le lendemain de la réception par les demandeurs du rapport de l'architecte C.________. Selon les juges cantonaux, ce rapport imputait clairement au défendeur la responsabilité du principe d'étanchéité entre les deux immeubles; il chiffrait également le montant total du dommage à 384'524 fr. sur la base des devis des entreprises. Contrairement à l'opinion du premier juge, la date déterminante ne correspondait donc pas à la réception du rapport de contre-expertise de l'architecte C.________ du 28 avril 2015. Certes, ce dernier rapport chiffrait exactement le montant du dommage sur la base non plus des devis, mais des factures des entreprises qui avaient, dans l'intervalle, exécuté les travaux. Cela étant, les demandeurs ne pouvaient différer leur demande jusqu'à en connaître la somme exacte : l'ampleur du préjudice ne résultait pas d'une situation évolutive et des infiltrations subséquentes ne s'étaient pas produites. Si les réflexions de la cour cantonale s'étaient arrêtées là, il lui eût fallu conclure que la prescription était acquise. Poursuivant leur raisonnement, les juges cantonaux ont toutefois estimé que le défendeur excipait abusivement de la prescription. Le 26 mars 2014, les parties avaient mandaté d'un commun accord D.________ SA aux fins d'effectuer une expertise destinée à déterminer tant les causes des dommages survenus que leur imputation. Il s'agissait d'une démarche qui avait incité les demandeurs à ne pas se préoccuper de l'interruption du délai de prescription, dès lors qu'ils étaient maintenus dans la confiance que cette expertise-là aboutirait à une solution amiable et dans le sens de leurs intérêts. Toujours selon les juges cantonaux, l'abus de droit avait infléchi le cours de la prescription : le délai avait couru du 14 janvier au 25 mars 2014, puis il avait été suspendu du 26 mars 2014 au 26 février 2015, date à laquelle D.________ SA avait rendu son rapport. Il avait repris son cours le lendemain, soit le 27 février 2015, et avait été interrompu par la réquisition de poursuite des demandeurs à la suite de laquelle le commandement de payer du 28 août 2015 avait été notifié. Au final, il n'avait donc pas atteint une année.</w:t>
      </w:r>
    </w:p>
    <w:p>
      <w:r>
        <w:rPr>
          <w:b/>
        </w:rPr>
        <w:t>E. 4</w:t>
      </w:r>
    </w:p>
    <w:p>
      <w:r>
        <w:t>Le recourant se défend d'invoquer abusivement la prescription. Avant d'examiner le mérite de sa critique, il s'agit de trancher la question du dies a quo du délai de prescription, objet du grief des intimés. D'après les intimés, la cour cantonale s'est méprise dans l'application du droit fédéral. La prescription ne décourrait d'après eux qu'à compter du 28 avril 2015, date correspondant à la réception du rapport de contre-expertise de l'architecte C.________. Auparavant, deux éléments leur échappaient. D'une part, les causes des dégâts n'étaient pas établies avec certitude. Le premier rapport établi par l'architecte prénommé n'esquissait que des hypothèses. La question de savoir si les écoulements provenaient du Rhône, de leur propre bâtiment, du bâtiment de A.________ ou de plusieurs causes cumulées demeurait indécise. Ces incertitudes avaient été exprimées dans le rapport en question ainsi que lors de l'audition de l'architecte C.________ comme témoin. D'autre part, ils ne connaissaient pas encore le montant du dommage. Certes, ils disposaient déjà de devis chiffrés, mais ils ignoraient si les travaux préconisés par l'architecte permettraient effectivement de résoudre le problème.</w:t>
      </w:r>
    </w:p>
    <w:p>
      <w:r>
        <w:rPr>
          <w:b/>
        </w:rPr>
        <w:t>E. 4.1</w:t>
      </w:r>
    </w:p>
    <w:p>
      <w:r>
        <w:t>L' art. 60 al. 1 CO exige la connaissance cumulative du dommage et de la personne qui en est l'auteur.</w:t>
      </w:r>
    </w:p>
    <w:p>
      <w:r>
        <w:rPr>
          <w:b/>
        </w:rPr>
        <w:t>E. 4.1.1</w:t>
      </w:r>
    </w:p>
    <w:p>
      <w:r>
        <w:t>Selon la ligne tracée par la jurisprudence,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 art. 42 al. 2 CO . Au demeurant, le dommage est suffisamment défini lorsque le créancier détient assez d'éléments pour qu'il soit en mesure de l'apprécier ( ATF 111 II 55 consid. 3a p. 57; 109 II 433 consid. 2 p. 434). Le créancier est en mesure de motiver sa demande lorsqu'il connaît le montant réel (maximal) de son dommage. Il lui est en effet toujours possible de réduire en tout temps ses conclusions en cours d'instance ( art. 227 al. 3 CPC ; arrêt 4A_509/2015 du 11 février 2016 consid. 3.2), s'il se révèle que sa demande était trop élevée ( ATF 74 II 30 consid. 1c), en particulier s'il est parvenu à diminuer le dommage. Le délai de l' art. 60 al. 1 CO part du moment où le lésé a effectivement connaissance du dommage au sens indiqué ci-dessus, et non de celui où il aurait pu découvrir l'importance de sa créance en faisant preuve de l'attention commandée par les circonstances ( ATF 136 III 322 consid. 4.1; 131 III 61 consid. 3.1.1; arrêt 4A_52/2020 du 19 août 2020 consid. 3.3.2). Cette jurisprudence ne va cependant pas jusqu'à protéger celui qui se désintéresse de la question du dommage. Le lésé est tenu d'avoir un comportement conforme à la bonne foi ( art. 2 CC ). S'il connaît les éléments essentiels du dommage, on peut attendre de lui qu'il se procure les informations nécessaires à l'ouverture d'une action ( ATF 109 II 433 consid. 2 p. 435, confirmé notamment par l'arrêt 2C.3/2005 du 10 janvier 2007 consid. 5.1; arrêt 4A_454/2010 du 6 janvier 2011 consid. 3.1). Quant à la connaissance de la personne, auteur du dommage au sens de l' art. 60 al. 1 CO , elle n'est pas acquise dès l'instant où le lésé présume que la personne en cause pourrait devoir réparer le dommage, mais seulement lorsqu'il connaît les faits qui fondent son obligation de réparer; en revanche, il n'est pas nécessaire qu'il connaisse également le fondement juridique de ce devoir; en effet, l'erreur de droit - qu'elle soit excusable ou non - n'empêche pas le cours de la prescription ( ATF 131 III 61 , consid. 3.1.2, 82 II 43 consid. 1a; arrêts 4C.182/2004 du 23 août 2004 consid. 5.2.1, 4C.234/1999 du 12 janvier 2000 consid. 5c/cc).</w:t>
      </w:r>
    </w:p>
    <w:p>
      <w:r>
        <w:rPr>
          <w:b/>
        </w:rPr>
        <w:t>E. 4.2</w:t>
      </w:r>
    </w:p>
    <w:p>
      <w:r>
        <w:t>En l'espèce, la cour cantonale n'a pas méconnu ces principes en retenant que les intimés avaient eu une connaissance suffisante du dommage ainsi que de la personne responsable à réception du premier rapport de leur architecte, daté du 13 janvier 2014. Les intimés ont beau jeu de prétendre qu'en janvier 2014, de fortes incertitudes subsistaient quant à la cause du dommage, c'est-à-dire la personne du responsable. En réalité, après la mise à nu des locaux et la réalisation de tests in situ , leur architecte a été catégorique sur le fait que l'eau provenait du mur mitoyen du bâtiment historique avec A.________, l'étanchéité de leur construction, respectivement du joint horizontal installé par leurs soins, étant déficiente. Certes, ce même architecte a déclaré lors de son audition comme témoin avoir continué à " se méfier " de, autrement dit à évaluer, l'hypothèse selon laquelle l'eau provenait également des sous-sols en plus des murs. La cour cantonale ne l'a nullement passée sous silence. Toutefois, à supposer réalisée, cette hypothèse, qu'il n'a - entre parenthèses - lui-même pas jugée suffisamment sérieuse pour justifier d'emblée la réalisation de travaux de réfection, n'aurait en tout état de cause constitué qu'une cause additionnelle du dommage. Aussi bien, l'architecte prénommé n'a pas réservé ses conclusions. Il a estimé que le 85 % du dommage total, soit 326'845 fr. 40, était à la charge de A.________. Les intimés estiment avoir obtenu des informations suffisantes uniquement à la lecture du second rapport de leur architecte, daté du 28 avril 2015. Ils méconnaissent toutefois que ce dernier a déclaré qu'il n'y avait " aucune différence " entre son rapport du 13 janvier 2014 et la contre-expertise du 28 avril 2015. Ils avancent encore qu'auparavant, la situation n'était pas " clairement établie " et en veulent pour preuve que les deux expertises - i.e. celle de leur architecte et celle de D.________ SA - parvenaient à des résultats contradictoires. Cette lecture des événements ne convainc toutefois pas. Le rapport de cette société n'a fait que les convaincre de la justesse des conclusions de leur architecte, que ce dernier a confirmées en se fendant - spontanément à l'en croire, démontrant ainsi que ses convictions étaient solidement ancrées - d'une contre-expertise. Ils ont d'ailleurs aussitôt brandi celle-ci à l'appui de leurs prétentions contre le recourant. La responsabilité de ce dernier ne relevait donc pas seulement du domaine des hypothèses; les intimés n'avaient pas de raison d'en douter dès le moment où le premier rapport de leur architecte qui ne comportait pas moins de 138 pages la pointait du doigt après que des tests l'ont révélée. Quant au montant du dommage, les intimés font valoir qu'ils n'avaient aucune certitude que les travaux préconisés dans ce rapport permettraient d'éviter les infiltrations d'eau; raison pour laquelle, nonobstant les travaux entrepris, leur architecte avait fait réaliser un faux-plancher technique et amovible afin de pouvoir constater à tout moment l'état du sol. Ils prêtent toutefois au doute des vertus dont il est dépourvu en la circonstance. Car si les intimés se trouvaient en proie à une telle hésitation quant à savoir si les travaux indiqués seraient suffisants, ils devaient se procurer les informations pour chiffrer ceux qui s'imposeraient en complément. Rien n'indique que cela fût impossible ou disproportionné dans le cas d'espèce. L'on peut fort bien concevoir que - comme l'a exprimé l'expert judiciaire - le problème de l'étanchéité soit parmi ceux qui sont les plus difficiles à résoudre dans le domaine de la construction et qu'il soit très difficile de résoudre à 100 % un semblable problème. Cela étant, le principe de la prescription serait vidé de son essence si le délai ne commençait à courir qu'à partir du moment où les demandeurs devaient bénéficier d'une certitude absolue. Le fait qu'il s'agisse in casu d'un court délai de prescription ne change rien à cela. Le grief des intimés se révèle dès lors mal fondé. Le dies a quo du délai de prescription relatif d'un an est bien celui retenu dans le jugement attaqué, à savoir le 14 janvier 2014.</w:t>
      </w:r>
    </w:p>
    <w:p>
      <w:r>
        <w:rPr>
          <w:b/>
        </w:rPr>
        <w:t>E. 5</w:t>
      </w:r>
    </w:p>
    <w:p>
      <w:r>
        <w:t>Le recourant formule trois griefs à l'encontre de l'arrêt cantonal, qui tiennent tous à la violation du droit fédéral. Le second s'avère déterminant de sorte qu'il peut être renoncé à l'examen des deux autres. Selon le recourant, la cour cantonale lui reproche à mauvais escient un abus de droit ( art. 2 al. 2 CC ). Le seul fait de participer à la mise en oeuvre d'une expertise conjointe - tout en contestant expressément toute responsabilité - n'était pas de nature à induire les intimés à se désintéresser de la prescription. En participant à une semblable expertise, il avait tout au plus accepté d'instruire le dossier, sans reconnaître le principe d'une responsabilité ou le montant de celle-ci. Il était insoutenable de retenir que l'hypothèse d'un accord ultérieur s'imposait dès lors avec haute probabilité et dédouaner ainsi les intimés de toute démarche interruptive. Leur retard n'était objectivement pas compréhensible et la prescription acquise.</w:t>
      </w:r>
    </w:p>
    <w:p>
      <w:r>
        <w:rPr>
          <w:b/>
        </w:rPr>
        <w:t>E. 5.1</w:t>
      </w:r>
    </w:p>
    <w:p>
      <w:r>
        <w:t>A teneur de l' art. 2 al. 2 CC ,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et l'attitude contradictoire. L'abus de droit doit être admis restrictivement, comme l'exprime l'adjectif " manifeste " utilisé dans le texte légal ( ATF 143 III 279 consid. 3.1 p. 281; 135 III 162 consid. 3.3.1 p. 169 et les arrêts cités). Le débiteur commet un abus de droit au sens de l' 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Ainsi, quand le débiteur - alors que le délai de prescription courait encore - a déterminé le créancier à attendre, il abuse de son droit en lui reprochant ensuite de n'avoir pas agi après s'être prévalu de la prescription ( venire contra factum proprium ; ATF 143 III 348 consid. 5.5.1; 128 V 236 consid. 4a; 113 II 269 consid. 2e et les réf.; cf. également ATF 131 III 430 consid. 2). Le comportement en cause peut par exemple consister à maintenir le créancier dans l'espoir que des discussions aboutiront à une solution favorable à ses intérêts (cf. arrêt C.114/1987 du 6 juillet 1987 consid. 4; KARL SPIRO, Die Begrenzung privater Rechte durch Verjährungs-, Verwirkungs- und Fatalfristen, vol. I, 1975, p. 245 ss). Le comportement du débiteur doit être en relation de causalité avec le retard à agir du créancier ( ATF 143 III 348 consid. 5.5.1; 128 V 236 consid. 4a).</w:t>
      </w:r>
    </w:p>
    <w:p>
      <w:r>
        <w:rPr>
          <w:b/>
        </w:rPr>
        <w:t>E. 5.2</w:t>
      </w:r>
    </w:p>
    <w:p>
      <w:r>
        <w:t>En l'espèce, la cour cantonale a considéré que le fait pour le recourant de mandater un expert d'un commun accord avec les intimés constituait une démarche qui avait incité ces derniers à ne pas se préoccuper de l'interruption du délai de prescription " dès lors qu'ils étaient maintenus dans la confiance que cette expertise-là aboutirait à une solution amiable et dans le sens de leurs intérêts ", ajoutant encore " en effet, cette expertise avait notamment pour but de déterminer tant les causes des dommages survenus que l'imputation de ceux-ci ". Ces considérations ne sauraient être partagées. En l'absence d'assurances expresses de son adverse partie - nullement alléguées ici - pour quelle raison le créancier serait-il incité à renoncer à entreprendre des démarches juridiques tant qu'une expertise conjointe est en cours ? Le résultat de celle-ci n'est pas d'emblée acquis; elle peut parfaitement parvenir à une conclusion défavorable à ses intérêts. C'est précisément ce qui s'est produit en l'occurrence, à mesure que le rapport d'expertise de D.________ SA exonère le recourant de toute responsabilité. Sans désemparer, les intimés ont dès lors eu recours à une contre-expertise de leur propre architecte pour en infirmer les conclusions, avant de requérir la poursuite puis d'agir en justice. La cour cantonale a toutefois considéré que les intimés étaient " maintenus dans la confiance que cette expertise-là aboutirait à une solution amiable et dans le sens de leurs intérêts ". A ce stade pourtant, les propriétaires B.________ et A.________ n'avaient pas pu s'entendre, ces derniers contestant leur responsabilité et le contenu du premier rapport de l'architecte C.________ du 13 janvier 2014 (cf. let. A.f supra). Et les questions soumises à l'expert ne contenaient pas le germe d'un aveu de A.________ d'une quelconque responsabilité. Elles tendaient tout simplement à déterminer quel était le responsable des dégâts et le montant du dommage, comme la cour cantonale le relève elle-même. Les intimés étaient visiblement persuadés de leur bon droit, disposant d'un rapport tranché de leur architecte mettant en cause le bâtiment du recourant. Cela étant, ils ne pouvaient pour autant présumer que l'expert mandaté conjointement adhérerait à ces conclusions et que le recourant se rangerait nécessairement aux résultats de la nouvelle expertise : ils ne s'y sont eux-mêmes pas pliés. Ils devaient envisager que l'expert en cause exprime un avis divergent et, soit obtenir une renonciation expresse à invoquer la prescription de leur adverse partie, soit interrompre le cours de celle-ci, ce qu'ils ont fait ultérieurement - mais tardivement - en requérant une poursuite à son encontre. Leur retard à agir n'est objectivement pas compréhensible. Partant, il n'y a rien d'abusif pour le recourant à invoquer la prescription de la créance en dommages-intérêts. Contrairement à ce qu'avancent les intimés en invoquant l'équité, cette institution n'est pas ici détournée de son but. Le grief du recourant s'avère bien fondé.</w:t>
      </w:r>
    </w:p>
    <w:p>
      <w:r>
        <w:rPr>
          <w:b/>
        </w:rPr>
        <w:t>E. 5.3</w:t>
      </w:r>
    </w:p>
    <w:p>
      <w:r>
        <w:t>La prescription d'un an qui a débuté le 14 janvier 2014 est ainsi échue le 14 janvier 2015 sans avoir été interrompue. Elle fait ainsi échec à l'exigibilité de la créance invoquée par les intimés.</w:t>
      </w:r>
    </w:p>
    <w:p>
      <w:r>
        <w:rPr>
          <w:b/>
        </w:rPr>
        <w:t>E. 6</w:t>
      </w:r>
    </w:p>
    <w:p>
      <w:r>
        <w:t>Au vu de ce qui précède, le recours doit être admis et l'arrêt de la Cour de justice du 5 mai 2020 réformé. La demande en paiement des propriétaires B.________, de même que leur conclusion tendant au prononcé de la mainlevée définitive de l'opposition formée au commandement de payer poursuite n. zzz notifié le... 2015 sont rejetés. La partie recourante obtient gain de cause, de sorte que les frais de procédure seront mis à la charge des intimés solidairement entre eux. Ceux-ci verseront, également solidairement entre eux, une indemnité de dépens au recourant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