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4A_360/2024 vom 8. Juli 2024</w:t>
      </w:r>
    </w:p>
    <w:p>
      <w:r>
        <w:t>Bundesgericht, 2024-07-08, DE</w:t>
      </w:r>
    </w:p>
    <w:p>
      <w:r>
        <w:rPr>
          <w:b/>
        </w:rPr>
        <w:t xml:space="preserve">Quelle: </w:t>
      </w:r>
      <w:r>
        <w:t>https://mcp.opencaselaw.ch/entscheid/bger_4A_360_2024</w:t>
      </w:r>
    </w:p>
    <w:p>
      <w:r>
        <w:t>FR: TF 4A_360/2024 du 8 juillet 2024</w:t>
      </w:r>
    </w:p>
    <w:p>
      <w:r>
        <w:t>IT: TF 4A_360/2024 del 8 luglio 2024</w:t>
      </w:r>
    </w:p>
    <w:p>
      <w:pPr>
        <w:pStyle w:val="Heading2"/>
      </w:pPr>
      <w:r>
        <w:t>Erwägungen</w:t>
      </w:r>
    </w:p>
    <w:p>
      <w:r>
        <w:rPr>
          <w:b/>
        </w:rPr>
        <w:t>E. 1</w:t>
      </w:r>
    </w:p>
    <w:p>
      <w:r>
        <w:t>Mit Entscheid vom 27. März 2024 schützte der Einzelrichter des Bezirksgerichts Weinfelden das Ausweisungsbegehren der Beschwerdegegnerin und wies die Beschwerdeführer an, das Reiheneinfamilienhaus inklusive Garagen Nr. 9 und 10, in U.________ bis am 17. April 2024 geräumt und gereinigt zu verlassen und der Beschwerdegegnerin zurückzugeben. Mit Zirkularentscheid vom 23. Mai 2024 wies das Obergericht des Kantons Thurgau die von den Beschwerdeführern gegen den einzelrichterlichen Entscheid vom 27. März 2024 erhobene Berufung ab und setzte den Ausweisungstermin neu fest. Mit Eingabe vom 20. Juni 2024 erklärten die Beschwerdeführer dem Bundesgericht, den Entscheid des Obergerichts des Kantons Thurgau vom 23. Mai 2024 mit Beschwerde anfechten zu wollen. Am 25. Juni 2024 reichte das Obergericht dem Bundesgericht ein vom 20. Juni 2024 datierendes Schreiben der Beschwerdeführer ein, in dem diese nochmals die Anfechtung der Ausweisung erklären und um Erstreckung des Mietverhältnisses um sechs Monate ersuchen.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 setzen sich in ihren Beschwerdeeingaben nicht hinreichend mit den Erwägungen des angefochtenen Entscheids des Obergerichts des Kantons Thurgau vom 23. Mai 2024 auseinander und zeigen nicht rechtsgenügend auf, inwiefern die Vorinstanz mit ihrem Entscheid Bundesrecht verletzt hätte. Vielmehr unterbreiten sie dem Bundesgericht in unzulässiger Weise ihre eigene Sicht der Dinge, ohne eine hinreichende Sachverhaltsrüge zu erheben. Das Begehren um Erstreckung des Mietverhältnisses ist zudem neu und damit im bundesgerichtlichen Verfahren unzulässig ( Art. 99 Abs. 2 BGG ). Auf die Beschwerde ist somit im vereinfachten Verfahren nach Art. 108 Abs. 1 lit. a und b BGG nicht einzutreten.</w:t>
      </w:r>
    </w:p>
    <w:p>
      <w:r>
        <w:rPr>
          <w:b/>
        </w:rPr>
        <w:t>E. 3</w:t>
      </w:r>
    </w:p>
    <w:p>
      <w:r>
        <w:t>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