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4A_360/2023 vom 20. September 2023</w:t>
      </w:r>
    </w:p>
    <w:p>
      <w:r>
        <w:t>Bundesgericht, 2023-09-20, FR</w:t>
      </w:r>
    </w:p>
    <w:p>
      <w:r>
        <w:rPr>
          <w:b/>
        </w:rPr>
        <w:t xml:space="preserve">Quelle: </w:t>
      </w:r>
      <w:r>
        <w:t>https://mcp.opencaselaw.ch/entscheid/bger_4A_360_2023</w:t>
      </w:r>
    </w:p>
    <w:p>
      <w:r>
        <w:t>FR: TF 4A_360/2023 du 20 septembre 2023</w:t>
      </w:r>
    </w:p>
    <w:p>
      <w:r>
        <w:t>IT: TF 4A_360/2023 del 20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à la charge du recourant.</w:t>
      </w:r>
    </w:p>
    <w:p>
      <w:r>
        <w:rPr>
          <w:b/>
        </w:rPr>
        <w:t>E. 3</w:t>
      </w:r>
    </w:p>
    <w:p>
      <w:r>
        <w:t>Le présent arrêt est communiqué aux parties et à la Chambre des baux et loyers de la Cour de justice du canton de Genève.</w:t>
      </w:r>
    </w:p>
    <w:p>
      <w:r>
        <w:t>Lausanne, le 20 septembre 2023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