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4A_35/2016 vom 4. Mai 2016</w:t>
      </w:r>
    </w:p>
    <w:p>
      <w:r>
        <w:t>Bundesgericht, 2016-05-04, DE</w:t>
      </w:r>
    </w:p>
    <w:p>
      <w:r>
        <w:rPr>
          <w:b/>
        </w:rPr>
        <w:t xml:space="preserve">Quelle: </w:t>
      </w:r>
      <w:r>
        <w:t>https://mcp.opencaselaw.ch/entscheid/bger_4A_35_2016</w:t>
      </w:r>
    </w:p>
    <w:p>
      <w:r>
        <w:t>FR: TF 4A_35/2016 du 4 mai 2016</w:t>
      </w:r>
    </w:p>
    <w:p>
      <w:r>
        <w:t>IT: TF 4A_35/2016 del 4 maggio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4A_35/2016</w:t>
      </w:r>
    </w:p>
    <w:p>
      <w:r>
        <w:t>Verfügung vom 4. Mai 2016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Th. Widmer.</w:t>
      </w:r>
    </w:p>
    <w:p>
      <w:r>
        <w:t>Verfahrensbeteiligte</w:t>
      </w:r>
    </w:p>
    <w:p>
      <w:r>
        <w:t>A.________ Ltd,</w:t>
      </w:r>
    </w:p>
    <w:p>
      <w:r>
        <w:t>vertreten durch Rechtsanwälte</w:t>
      </w:r>
    </w:p>
    <w:p>
      <w:r>
        <w:t>Dr. Roberto Dallafior und Dr. Roland Bachmann,</w:t>
      </w:r>
    </w:p>
    <w:p>
      <w:r>
        <w:t>Beschwerdeführerin,</w:t>
      </w:r>
    </w:p>
    <w:p>
      <w:r>
        <w:t>gegen</w:t>
      </w:r>
    </w:p>
    <w:p>
      <w:r>
        <w:t>1. B.________ SE,</w:t>
      </w:r>
    </w:p>
    <w:p>
      <w:r>
        <w:t>vertreten durch Fürsprecher Dr. Christoph K. Graber,</w:t>
      </w:r>
    </w:p>
    <w:p>
      <w:r>
        <w:t>2. C.________ Limited,</w:t>
      </w:r>
    </w:p>
    <w:p>
      <w:r>
        <w:t>vertreten durch Rechtsanwälte</w:t>
      </w:r>
    </w:p>
    <w:p>
      <w:r>
        <w:t>Dr. Jodok Wicki und Dr. Clemens von Zedtwitz,</w:t>
      </w:r>
    </w:p>
    <w:p>
      <w:r>
        <w:t>Beschwerdegegnerinnen.</w:t>
      </w:r>
    </w:p>
    <w:p>
      <w:r>
        <w:t>Gegenstand</w:t>
      </w:r>
    </w:p>
    <w:p>
      <w:r>
        <w:t>Versicherungsvertrag,</w:t>
      </w:r>
    </w:p>
    <w:p>
      <w:r>
        <w:t>Beschwerde gegen das Urteil des Handelsgerichts</w:t>
      </w:r>
    </w:p>
    <w:p>
      <w:r>
        <w:t>des Kantons Zürich vom 23. November 2015.</w:t>
      </w:r>
    </w:p>
    <w:p>
      <w:r>
        <w:t>In Erwägung,</w:t>
      </w:r>
    </w:p>
    <w:p>
      <w:r>
        <w:t>dass die Beschwerdeführerin mit Schreiben vom 12. April 2016 ihre Beschwerde vom 18. Januar 2016 gegen das Urteil des Handelsgerichts des Kantons Zürich vom 23. November 2015zurückgezogen hat;</w:t>
      </w:r>
    </w:p>
    <w:p>
      <w:r>
        <w:t>dass die Beschwerdeführerin in ihrem Rückzugsschreiben vom 12. April 2016 erklärte, die Parteien hätten einen Vergleich geschlossen und die Beschwerdegegnerinnen verzichteten auf eine Parteientschädigung;</w:t>
      </w:r>
    </w:p>
    <w:p>
      <w:r>
        <w:t>dass dieses Schreiben mit Verfügung vom 21. April 2016 den Beschwerdegegnerinnen zugestellt wurde, mit der Einladung, eine allfällige Stellungnahme dazu bis zum 2. Mai 2016einzureichen;</w:t>
      </w:r>
    </w:p>
    <w:p>
      <w:r>
        <w:t>dass die Beschwerdegegnerinnen mit Schreiben vom 26. April und vom 29. April 2016 bestätigten, dass sie im geschlossenen Vergleich auf eine Parteientschädigung aus dem bundesgerichtlichen Verfahren verzichtet haben;</w:t>
      </w:r>
    </w:p>
    <w:p>
      <w:r>
        <w:t>dass das Verfahren als durch Rückzug der Beschwerde erledigt abzuschreiben ist;</w:t>
      </w:r>
    </w:p>
    <w:p>
      <w:r>
        <w:t>dass demnach die Gerichtskosten der Beschwerdeführerin aufzuerlegen ( Art. 66 BGG ) und keine Parteientschädigungen zuzusprechen sind;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500.-- werden der Beschwerdeführerin auferlegt.</w:t>
      </w:r>
    </w:p>
    <w:p>
      <w:r>
        <w:t>3.</w:t>
      </w:r>
    </w:p>
    <w:p>
      <w:r>
        <w:t>Diese Verfügung wird den Parteien und dem Handelsgericht des Kantons Zürich schriftlich mitgeteilt.</w:t>
      </w:r>
    </w:p>
    <w:p>
      <w:r>
        <w:t>Lausanne, 4. Mai 2016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