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4A_35/2007 vom 2. Mai 2007</w:t>
      </w:r>
    </w:p>
    <w:p>
      <w:r>
        <w:t>Bundesgericht, 2007-05-02, FR</w:t>
      </w:r>
    </w:p>
    <w:p>
      <w:r>
        <w:rPr>
          <w:b/>
        </w:rPr>
        <w:t xml:space="preserve">Quelle: </w:t>
      </w:r>
      <w:r>
        <w:t>https://mcp.opencaselaw.ch/entscheid/bger_4A_35_2007</w:t>
      </w:r>
    </w:p>
    <w:p>
      <w:r>
        <w:t>FR: TF 4A_35/2007 du 2 mai 2007</w:t>
      </w:r>
    </w:p>
    <w:p>
      <w:r>
        <w:t>IT: TF 4A_35/2007 del 2 maggio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291 consid. 1).</w:t>
      </w:r>
    </w:p>
    <w:p>
      <w:r>
        <w:t>L'arrêt attaqué ne met pas fin à la procédure; il tranche une question préjudicielle de procédure et renvoie la cause au juge de première instance pour instruction et jugement de la cause sur le fond. Il s'agit d'une décision incidente (cf. ATF 132 III 785 consid. 2). Dès lors qu'elle ne porte pas sur la compétence ou sur une demande de récusation, elle ne peut faire l'objet d'un recours au Tribunal fédéral que si l'une des deux conditions suivantes est remplie: soit elle peut causer un préjudice irréparable ( art. 93 al. 1 let. a LTF ), ce qui n'est manifestement pas le cas en l'espèce, soit l'admission du recours peut conduire immédiatement à une décision finale qui permet d'éviter une procédure probatoire longue et coûteuse ( art. 93 al. 1 let. b LTF ).</w:t>
      </w:r>
    </w:p>
    <w:p>
      <w:r>
        <w:t>Cette dernière condition est la reprise de la règle de l' art. 50 al. 1 OJ (Message concernant la révision totale de l'organisation judiciaire fédérale du 28 février 2001, FF 2001 p. 4000 ss, spéc. p. 4131). La jurisprudence rendue au sujet de cette dernière disposition garde donc toute sa portée.</w:t>
      </w:r>
    </w:p>
    <w:p>
      <w:r>
        <w:t>Selon cette jurisprudence, l'ouverture du recours prévue, pour des motifs d'économie de procédure, contre les décisions préjudicielles ou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si les conditions de recevabilité sont réalisées. D'emblée, il ne saurait entrer en matière sur un recours lorsque la partie recourante n'expose pas pourquoi ces conditions seraient remplies et ignore complètement le problème de la recevabilité. Lorsqu'elle fait en revanche valoir que les conditions légales sont réalisées, il faut distinguer. S'il découle manifestement de la décision attaquée ou de la nature de la cause que la poursuite de la procédure prendra un temps considérable et exigera des frais très importants, il peut être renoncé à une longue démonstration. Si tel n'est pas le cas, la partie recourante doit indiquer de manière détaillée quelles questions de fait sont encore litigieuses et quelles sont les preuves longues et coûteuses qui devraient être administrées. Il doit en plus établir, en se référant aux actes, qu'il a déjà invoqué ou requis ces moyens de preuve dans la procédure cantonale (cf. ATF 118 II 91 consid. 1a p. 92).</w:t>
      </w:r>
    </w:p>
    <w:p>
      <w:r>
        <w:t>En l'espèce, la recourante n'aborde pas du tout la question, de sorte que le recours doit être déclaré irrecevable. Au demeurant, la fixation du loyer admissible n'entraîne, en règle générale, pas de procédure probatoire longue et coûteuse, et rien ne permet d'admettre qu'il en irait différemment dans le cas particulier.</w:t>
      </w:r>
    </w:p>
    <w:p>
      <w:r>
        <w:rPr>
          <w:b/>
        </w:rPr>
        <w:t>E. 3</w:t>
      </w:r>
    </w:p>
    <w:p>
      <w:r>
        <w:t>Compte tenu de l'issue du litige, les frais judiciaires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