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359/2022 vom 3. Oktober 2022</w:t>
      </w:r>
    </w:p>
    <w:p>
      <w:r>
        <w:t>Bundesgericht, 2022-10-03, DE</w:t>
      </w:r>
    </w:p>
    <w:p>
      <w:r>
        <w:rPr>
          <w:b/>
        </w:rPr>
        <w:t xml:space="preserve">Quelle: </w:t>
      </w:r>
      <w:r>
        <w:t>https://mcp.opencaselaw.ch/entscheid/bger_4A_359_2022</w:t>
      </w:r>
    </w:p>
    <w:p>
      <w:r>
        <w:t>FR: TF 4A 359/2022 du 3 octobre 2022</w:t>
      </w:r>
    </w:p>
    <w:p>
      <w:r>
        <w:t>IT: TF 4A 359/2022 del 3 ottobre 2022</w:t>
      </w:r>
    </w:p>
    <w:p>
      <w:pPr>
        <w:pStyle w:val="Heading2"/>
      </w:pPr>
      <w:r>
        <w:t>Regeste</w:t>
      </w:r>
    </w:p>
    <w:p>
      <w:r>
        <w:t>Kaufvertrag, | Vertragsrecht</w:t>
      </w:r>
    </w:p>
    <w:p>
      <w:pPr>
        <w:pStyle w:val="Heading2"/>
      </w:pPr>
      <w:r>
        <w:t>Erwägungen</w:t>
      </w:r>
    </w:p>
    <w:p>
      <w:r>
        <w:rPr>
          <w:b/>
        </w:rPr>
        <w:t>E. 1</w:t>
      </w:r>
    </w:p>
    <w:p>
      <w:r>
        <w:t>Mit Entscheid vom 18. Juni 2021 wies das Regionalgericht Bern-Mittelland eine vom Beschwerdegegner gegen die Beschwerdeführerin erhobene Forderungsklage infolge fehlender Passivlegitimation ab. Mit Entscheid vom 21. Juli 2022 hiess das Obergericht des Kantons Bern eine vom Beschwerdegegner gegen den regionalgerichtlichen Entscheid vom 18. Juni 2021 erhobene Berufung gut, es hob den angefochtenen Entscheid auf, stellte die Passivlegitimation der Beschwerdeführerin fest und wies die Sache zur weiteren Behandlung der Klage an das Regionalgericht zurück. Mit Eingabe vom 5. September 2022 erklärte die Beschwerdeführerin dem Bundesgericht, den Entscheid des Obergerichts des Kantons Bern vom 21. Juli 2022 mit Beschwerde anfechten zu wollen. 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Gegen selbständig eröffnete Zwischenentscheide, mit denen weder über die Zuständigkeit noch über Ausstandsbegehren entschieden wurde (vgl.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Der nicht wieder gutzumachende Nachteil im Sinne von Art. 93 Abs. 1 lit. a BGG muss ein Nachteil rechtlicher Natur sein, der auch durch einen späteren günstigen Endentscheid nicht oder nicht gänzlich beseitigt werden kann, wogegen rein tatsächliche Nachteile wie die Verfahrensverlängerung oder -verteuerung nicht ausreichen ( BGE 144 III 475 E. 1.2; 142 III 798 E. 2.2; 141 III 80 E. 1.2; je mit Hinweisen). Die selbständige Anfechtbarkeit von Zwischenentscheiden bildet aus prozessökonomischen Gründen eine Ausnahme vom Grundsatz, dass sich das Bundesgericht mit jeder Angelegenheit nur einmal befassen soll ( BGE 144 III 475 E. 1.2; 142 III 798 E. 2.2; 141 III 80 E. 1.2). Diese Ausnahme ist restriktiv zu handhaben ( BGE 144 III 475 E. 1.2; 138 III 94 E. 2.2). Dabei obliegt es der beschwerdeführenden Partei darzutun, dass die Voraussetzungen für eine ausnahmsweise Anfechtbarkeit eines Zwischenentscheids erfüllt sind, soweit deren Vorliegen nicht offensichtlich in die Augen springt ( BGE 142 III 798 E. 2.2; 141 III 80 E. 1.2; 138 III 46 E. 1.2; 137 III 324 E. 1.1; 133 III 629 E. 2.3.1).</w:t>
      </w:r>
    </w:p>
    <w:p>
      <w:r>
        <w:rPr>
          <w:b/>
        </w:rPr>
        <w:t>E. 2.2</w:t>
      </w:r>
    </w:p>
    <w:p>
      <w:r>
        <w:t>Beim angefochtenen Entscheid des Obergerichts des Kantons Bern vom 21. Juli 2022 handelt es sich um einen Rückweisungsentscheid des Berufungsgerichts und damit um einen Zwischenentscheid (vgl. Art. 92 f. BGG), der das Verfahren in der Hauptsache nicht abschliesst ( BGE 145 III 42 E. 2.1; 144 III 253 E. 1.4). Die Beschwerdeführerin äussert sich nicht zu den Eintretensvoraussetzungen nach Art. 93 Abs. 1 BGG und deren Vorliegen springt auch nicht offensichtlich in die Augen. Auf die Beschwerde ist daher im vereinfachten Verfahren nach Art. 108 Abs. 1 lit. a BGG nicht einzutreten.</w:t>
      </w:r>
    </w:p>
    <w:p>
      <w:r>
        <w:rPr>
          <w:b/>
        </w:rPr>
        <w:t>E. 3</w:t>
      </w:r>
    </w:p>
    <w:p>
      <w:r>
        <w:t>Die Beschwerdeführerin wird bei diesem Verfahrensausgang kostenpflichtig ( Art. 66 Abs. 1 BGG ). Dem Beschwerdegegner steht keine Parteientschädigungen zu, da ihm aus dem bundesgerichtlichen Verfahren kein Aufwand erwachsen ist ( Art. 68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