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4A_358/2023 vom 10. Oktober 2023</w:t>
      </w:r>
    </w:p>
    <w:p>
      <w:r>
        <w:t>Bundesgericht, 2023-10-10, DE</w:t>
      </w:r>
    </w:p>
    <w:p>
      <w:r>
        <w:rPr>
          <w:b/>
        </w:rPr>
        <w:t xml:space="preserve">Quelle: </w:t>
      </w:r>
      <w:r>
        <w:t>https://mcp.opencaselaw.ch/entscheid/bger_4A_358_2023</w:t>
      </w:r>
    </w:p>
    <w:p>
      <w:r>
        <w:t>FR: TF 4A_358/2023 du 10 octobre 2023</w:t>
      </w:r>
    </w:p>
    <w:p>
      <w:r>
        <w:t>IT: TF 4A_358/2023 del 10 ottobre 2023</w:t>
      </w:r>
    </w:p>
    <w:p>
      <w:pPr>
        <w:pStyle w:val="Heading2"/>
      </w:pPr>
      <w:r>
        <w:t>Erwägungen</w:t>
      </w:r>
    </w:p>
    <w:p>
      <w:r>
        <w:rPr>
          <w:b/>
        </w:rPr>
        <w:t>E. 1</w:t>
      </w:r>
    </w:p>
    <w:p>
      <w:r>
        <w:t>Das Bundesgericht prüft von Amtes wegen und mit freier Kognition, ob ein Rechtsmittel zulässig ist ( Art. 29 Abs. 1 BGG ; BGE 148 IV 155 E. 1.1 ; 145 I 121 E. 1; 143 III 140 E. 1).</w:t>
      </w:r>
    </w:p>
    <w:p>
      <w:r>
        <w:rPr>
          <w:b/>
        </w:rPr>
        <w:t>E. 1.1</w:t>
      </w:r>
    </w:p>
    <w:p>
      <w:r>
        <w:t>Die Beschwerde betrifft eine Zivilsache ( Art. 72 BGG ) und richtet sich gegen den Endentscheid ( Art. 90 BGG ) eines oberen kantonalen Gerichts, das als Rechtsmittelinstanz entschieden hat ( Art. 75 BGG ). Die Beschwerdeführerin ist mit ihren Anträgen unterlegen ( Art. 76 Abs. 1 BGG ), der Streitwert ist erreicht ( Art. 74 Abs. 1 lit. b BGG ) und die Beschwerdefrist ( Art. 100 Abs. 1 BGG ) ist eingehalten.</w:t>
      </w:r>
    </w:p>
    <w:p>
      <w:r>
        <w:t>Die Beschwerdeführerin formuliert hinsichtlich Kosten- und Entschädigungsfolgen des kantonalen Verfahrens ein eigenes Rechtsbegehren (Antrags-Ziffer 5). Aus ihrer Beschwerdebegründung, der sich keine Rügen der bundesrechtswidrigen Verteilung der Gerichtskosten entnehmen lassen, ergibt sich jedoch, dass sie den vorinstanzlichen Kostenentscheid nicht gesondert, d.h. unabhängig vom Ausgang der Hauptsache, anfechten will.</w:t>
      </w:r>
    </w:p>
    <w:p>
      <w:r>
        <w:t>Auf die Beschwerde ist unter Vorbehalt hinreichender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Stützt sich der angefochtene Entscheid auf mehrere selbstständige Begründungen, so muss sich die Beschwerde zudem mit jeder einzelnen auseinandersetzen, sonst wird darauf nicht eingetreten ( BGE 142 III 364 E. 2.4 mit Hinweisen; vgl. auch BGE 143 IV 40 E. 3.4).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1.4</w:t>
      </w:r>
    </w:p>
    <w:p>
      <w:r>
        <w:t>Die Beschwerdeführerin verkennt diese Anforderungen über weite Strecken. So stellt sie unter dem Titel "III. Sachverhalt", den sie ihren rechtlichen Ausführungen voranstellt, die Hintergründe des Rechtsstreits und des Verfahrensablaufs aus eigener Sicht dar. Dabei kritisiert sie verschiedentlich die tatsächlichen Feststellungen im angefochtenen Entscheid, weicht davon ab oder erweitert diese, ohne jedoch hinreichend begründete Sachverhaltsrügen zu erheben. Soweit sie vorbringt, die Beschwerdegegnerin habe diese oder jene Tatsache "weder genügend substanziiert behauptet, geschweige denn bewiesen" bzw. eine entsprechende Behauptung der Beschwerdeführerin nicht hinreichend bestritten, fehlt es an hinreichend begründeten Rügen.</w:t>
      </w:r>
    </w:p>
    <w:p>
      <w:r>
        <w:t>Abgesehen davon bringt die Beschwerdeführerin vor Bundesgericht selber vor, die Beschwerdegegnerin habe behauptet, dass nach einer erfolgten Mitteilung "das ganze operative Geschäft von der C.________ AG auf die B.________ AG übergegangen sei". Sie bemängelt hinsichtlich der vorinstanzlichen Annahme einer entsprechenden Offerte der beiden Holzbauer an die Beschwerdeführerin zur Übernahme des Werkvertrags vom März/April 2009 eine unzureichende Substanziierung durch die Beschwerdegegnerin, zeigt jedoch nicht auf, inwiefern die Vorinstanz Bundesrecht verletzt haben soll, indem sie erwog, es habe diesbezüglich keiner weiteren "Gliederung in Einzeltatsachen" bedurft. Im Übrigen verkennt die Beschwerdeführerin in diesem Zusammenhang, dass die Vorinstanz hinsichtlich des Zeitpunkts der erfolgten Bekanntmachung der Geschäftsübernahme von einer offensichtlich irrtümlich erfolgten Datierung (2014 anstatt 2012) in der fraglichen Rechtsschrift der Beschwerdegegnerin ausging und ausserdem erwog, die genaue Datierung sei nicht rechtserheblich. Indem die Beschwerdeführerin vor Bundesgericht geltend macht, aus der fraglichen Bekanntmachung könne entgegen der tatsächlichen Feststellung im angefochtenen Entscheid nicht geschlossen werden, dass das gesamte operative Geschäft von der C.________ AG auf die Beschwerdegegnerin übergegangen sei, kritisiert sie lediglich in appellatorischer Weise die vorinstanzliche Beweiswürdigung. Auch hinsichtlich der Datierung der Bekanntmachung der erfolgten Geschäftsübernahme erhebt die Beschwerdeführerin keine hinreichend begründete Rüge.</w:t>
      </w:r>
    </w:p>
    <w:p>
      <w:r>
        <w:t>Rein appellatorisch sind zudem die Vorbringen in der Beschwerde zu den Hintergründen der am 19. Mai 2020 erfolgten Abtretung von Forderungen der C.________ AG an die Beschwerdegegnerin.</w:t>
      </w:r>
    </w:p>
    <w:p>
      <w:r>
        <w:t>Auch in ihrer weiteren Beschwerdebegründung unterbreitet die Beschwerdeführerin dem Bundesgericht verschiedentlich ihre Sicht der Dinge und weicht von den tatsächlichen Feststellungen der Vorinstanz ab oder erweitert diese, ohne die gesetzlichen Anforderungen an eine hinreichende Sachverhaltsrüge zu erfüllen. Da sie auch unter dem Titel "IV. Rechtliches" in unzulässiger Weise tatsächliche und rechtliche Vorbringen vermengt, ist auf ihre Vorbringen nur insoweit einzugehen, als daraus wenigstens sinngemäss erkennbar ist, welche Bundesrechtssätze und inwiefern sie durch den angefochtenen Entscheid verletzt sein sollen, wenn die verbindlichen Feststellungen im vorinstanzlichen Entscheid zugrunde gelegt werden ( Art. 105 Abs. 1 BGG ).</w:t>
      </w:r>
    </w:p>
    <w:p>
      <w:r>
        <w:rPr>
          <w:b/>
        </w:rPr>
        <w:t>E. 2</w:t>
      </w:r>
    </w:p>
    <w:p>
      <w:r>
        <w:t>Die Beschwerdeführerin beanstandet die vorinstanzliche Erwägung, dass es zu einer Übernahme des Werkvertrags durch die Beschwerdegegnerin gekommen sei, als bundesrechtswidrig.</w:t>
      </w:r>
    </w:p>
    <w:p>
      <w:r>
        <w:rPr>
          <w:b/>
        </w:rPr>
        <w:t>E. 2.1</w:t>
      </w:r>
    </w:p>
    <w:p>
      <w:r>
        <w:t>Die Vorinstanz stellte in tatsächlicher Hinsicht darauf ab, dass die C.________ AG und die Beschwerdegegnerin im Laufe des Jahres 2012 "ihre geschätzten Geschäftspartner" - so unter anderen die Beschwerdeführerin - mit (undatierter) Mitteilung schriftlich darüber informiert hatten, dass sich D.________ altershalber aus dem operativen Geschäft zurückziehen wolle und die Beschwerdegegnerin "neu die betrieblichen Tätigkeiten der C.________ AG übernehmen" und "[w]ährend der Übergangsphase bis Ende 2012 [...] noch beide Unternehmen ihre Betriebsstätten bei behalten und parallel auf dem Markt auftreten [wollten]". Sie verwies zudem auf die entsprechende Erwägung im erstinstanzlichen Entscheid, nach der die Übernahme der betrieblichen Tätigkeit der C.________ AG durch die Beschwerdegegnerin ab 2013 stattfand und Erstere nicht mehr auf dem Markt auftrat. Die Vorinstanz wies darauf hin, dass die erwähnte Mitteilung gewiss noch präziser hätte formuliert werden können; was etwa für ein Projekt gelten sollte, das die C.________ AG noch vor Ende 2012 in Angriff nehmen und das am 31. Dezember 2012 bis auf reine Abschlussarbeiten fertiggestellt sein würde, habe der Auslegung oder vernünftigerweise einer klärenden Absprache jener drei Parteien bedurft (der C.________ AG, jener Bestellerin und der Beschwerdegegnerin). Mit Bezug auf das strittige Projekt "Z.________" habe nach Treu und Glauben aber kein Zweifel bestanden: Die C.________ AG habe bereits im Jahr 2009 einen Teil der Leistungen (für die Häuser C, D und E) erbracht und die zweite Etappe sei erst 2015 in Angriff genommen worden. Die "Übergangsphase", auch wenn man sie mit einer gewissen Unschärfe verstehe, sei damals schon eine geraume Zeit vorbei gewesen. Die Arbeiten für die Häuser A und B im Jahr 2015 seien unzweifelhaft unter die Formulierung gefallen, dass die Beschwerdegegnerin "die betrieblichen Tätigkeiten der C.________ AG übernehmen werde". Die Beschwerdeführerin habe die Beschwerdegegnerin ohne Weiteres die Arbeiten ausführen lassen und damit der Vertragsübernahme stillschweigend zugestimmt.</w:t>
      </w:r>
    </w:p>
    <w:p>
      <w:r>
        <w:t>Die Vorinstanz wies ergänzend darauf hin, dass die Rechnung für die Leistungen betreffend die Häuser A und B von der Beschwerdegegnerin ausgestellt wurde und es mit der Position der Beschwerdeführerin nicht zu vereinbaren sei, dass sie zunächst gegen die Person der Rechnungsstellerin nicht widersprochen und mit ihr über die Höhe des Werklohns gestritten habe. Denn wenn die Beschwerdegegnerin aus der Sicht der Beschwerdeführerin nur Unterakkordantin gewesen wäre, hätte diese der Beschwerdegegnerin nichts geschuldet. Dies stelle ein zusätzliches, wenn auch nicht notwendiges Element dar, das die Beschwerdegegnerin nach Treu und Glauben als Zustimmung zum Vertragsübergang habe verstehen dürfen und müssen.</w:t>
      </w:r>
    </w:p>
    <w:p>
      <w:r>
        <w:rPr>
          <w:b/>
        </w:rPr>
        <w:t>E. 2.2</w:t>
      </w:r>
    </w:p>
    <w:p>
      <w:r>
        <w:t>Die Beschwerdeführerin vermag diesen zutreffenden Erwägungen nichts Stichhaltiges entgegenzusetzen. Insbesondere zeigt sie nicht auf, inwiefern die Vorinstanz bei der Beurteilung des Erklärungsverhaltens der Parteien die massgebenden Grundsätze der Auslegung nach dem Vertrauensprinzip missachtet hätte (dazu BGE 142 III 239 E. 5.2.1; 140 III 134 E. 3.2). Soweit ihre Vorbringen nicht ohnehin rein appellatorisch sind, bringt sie lediglich vor, ihr Verhalten hätte "genauso g ut dahingehend ausgelegt werden [können], dass sie die Beschwerdegegnerin als Subunternehmerin [C.________ AG] akzeptierte [...]". Angesichts des Umstands, dass die C.________ AG im massgebenden Zeitpunkt nicht mehr operativ tätig war, sondern ihre betriebliche Tätigkeit längst auf die Beschwerdegegnerin übertragen hatte, überzeugt die von der Beschwerdeführerin vertretene Auslegung nicht. Sie stellt sich vor Bundesgericht im Übrigen selber auf den Standpunkt, sie habe die bereits erwähnte Mitteilung dahingehend verstehen dürfen, dass die Beschwerdegegnerin "bis zu einer Betriebsübernahme" die Arbeiten für die C.________ AG als Subunternehmerin erbringe. Im Zeitpunkt der strittigen Leistungen der Beschwerdegegnerin für die Häuser A und B im Jahr 2015 war diese Übernahme jedoch längst erfolgt. Soweit die Beschwerdeführerin behauptet, ihr sei Entsprechendes nie mitgeteilt worden, setzt sie sich einmal mehr in unzulässiger Weise über die - für das Bundesgericht verbindlichen ( Art. 105 Abs. 1 BGG ) - Sachverhaltsfeststellungen im angefochtenen Entscheid hinweg.</w:t>
      </w:r>
    </w:p>
    <w:p>
      <w:r>
        <w:t>Die vorinstanzliche Erwägung, nach der angesichts der im angefochtenen Entscheid festgestellten Umstände von einer konkludenten Zustimmung der Beschwerdeführerin zur Übertragung des Werkvertrags für die Arbeiten an der zweiten Etappe (Häuser A und B) auf die Beschwerdegegnerin auszugehen sei, hält demnach vor Bundesrecht stand. Entsprechend hielt die Vorinstanz zutreffend fest, die Beschwerdegegnerin könne - gestützt auf den Werkvertrag - von der Beschwerdeführerin die Bezahlung der für die Häuser A und B erbrachten Leistungen verlangen.</w:t>
      </w:r>
    </w:p>
    <w:p>
      <w:r>
        <w:rPr>
          <w:b/>
        </w:rPr>
        <w:t>E. 2.3</w:t>
      </w:r>
    </w:p>
    <w:p>
      <w:r>
        <w:t>Die Gutheissung der Klage erfolgte zu Recht. Es erübrigt sich bei diesem Ergebnis, auf die Vorbringen in der Beschwerde zu der im angefochtenen Entscheid erwähnten Abtretungserklärung der C.________ AG vom 19. Mai 2020 einzugehen, da es sich bei der behaupteten Abtretung um einen Eventualstandpunkt der Beschwerdegegnerin für den Fall handelte, dass kein Vertragsübergang hätte festgestellt werden können. Entgegen den Vorbringen in der Beschwerde ist jedoch unerfindlich, inwiefern es der erfolgten Abtretung vom 19. Mai 2020, mit der die C.________ AG der Beschwerdegegnerin "sämtliche ihr [...] aus dem [...] abgeschlossenen Werkvertrag Nr. 22 vom 17./20. April 2009 allenfalls noch zustehenden Forderungen" abtrat, an der Bestimmtheit bzw. Bestimmbarkeit der abgetretenen Forderungen fehlen soll (dazu BGE 135 V 2 , E. 6.1.2; 122 III 361 E. 4c; Urteil 4A_172/2018 vom 13. September 2018 E. 4.4.2).</w:t>
      </w:r>
    </w:p>
    <w:p>
      <w:r>
        <w:rPr>
          <w:b/>
        </w:rPr>
        <w:t>E. 3</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